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10" w:rsidRDefault="00167910">
      <w:pPr>
        <w:jc w:val="center"/>
      </w:pPr>
    </w:p>
    <w:tbl>
      <w:tblPr>
        <w:tblW w:w="10291" w:type="dxa"/>
        <w:tblInd w:w="-436" w:type="dxa"/>
        <w:tblLayout w:type="fixed"/>
        <w:tblLook w:val="04A0"/>
      </w:tblPr>
      <w:tblGrid>
        <w:gridCol w:w="1844"/>
        <w:gridCol w:w="8447"/>
      </w:tblGrid>
      <w:tr w:rsidR="00167910">
        <w:trPr>
          <w:trHeight w:val="50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Раздел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Содержание</w:t>
            </w:r>
          </w:p>
        </w:tc>
      </w:tr>
      <w:tr w:rsidR="00167910">
        <w:trPr>
          <w:trHeight w:val="198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Число участников стартап-проекта и их компетенции (не более пяти человек)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Pr="002260EC" w:rsidRDefault="00A05AF1">
            <w:pPr>
              <w:pStyle w:val="a3"/>
              <w:numPr>
                <w:ilvl w:val="0"/>
                <w:numId w:val="1"/>
              </w:numPr>
            </w:pPr>
            <w:r w:rsidRPr="002260EC">
              <w:t>Манар К. А. - Product Owner / CEO, разработка и внедрение технологии отопления комплекса на попутном газе, контроль за техническими и экологическими стандартами.</w:t>
            </w:r>
          </w:p>
          <w:p w:rsidR="00167910" w:rsidRPr="002260EC" w:rsidRDefault="00A05AF1">
            <w:pPr>
              <w:pStyle w:val="a3"/>
              <w:numPr>
                <w:ilvl w:val="0"/>
                <w:numId w:val="1"/>
              </w:numPr>
            </w:pPr>
            <w:r w:rsidRPr="002260EC">
              <w:t xml:space="preserve">Арешина А.И. - </w:t>
            </w:r>
            <w:r w:rsidRPr="002260EC">
              <w:rPr>
                <w:lang w:val="en-US"/>
              </w:rPr>
              <w:t>CMO</w:t>
            </w:r>
            <w:r w:rsidRPr="002260EC">
              <w:t xml:space="preserve"> / разработка позиционирования и утп, создание фирменного стиля, планирование и реализация маркетинговых компаний.</w:t>
            </w:r>
          </w:p>
          <w:p w:rsidR="00167910" w:rsidRDefault="002260EC">
            <w:pPr>
              <w:pStyle w:val="a3"/>
              <w:numPr>
                <w:ilvl w:val="0"/>
                <w:numId w:val="1"/>
              </w:numPr>
            </w:pPr>
            <w:r w:rsidRPr="002260EC">
              <w:t>Мещерин Д. И</w:t>
            </w:r>
            <w:r w:rsidR="00A05AF1" w:rsidRPr="002260EC">
              <w:t xml:space="preserve"> - </w:t>
            </w:r>
            <w:r w:rsidR="00A05AF1" w:rsidRPr="002260EC">
              <w:rPr>
                <w:lang w:val="en-US"/>
              </w:rPr>
              <w:t>COO</w:t>
            </w:r>
            <w:r w:rsidR="00A05AF1" w:rsidRPr="002260EC">
              <w:t>/финансы,  формирование стратегического плана развития, организация логистики.</w:t>
            </w:r>
          </w:p>
        </w:tc>
      </w:tr>
      <w:tr w:rsidR="00167910">
        <w:trPr>
          <w:trHeight w:val="178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Минимальные стартовые затраты стартап-проекта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rPr>
                <w:b/>
              </w:rPr>
              <w:t>Расходы на открытие бизнеса</w:t>
            </w:r>
            <w:r>
              <w:t>:</w:t>
            </w:r>
          </w:p>
          <w:p w:rsidR="00167910" w:rsidRPr="002260EC" w:rsidRDefault="00A05AF1">
            <w:r w:rsidRPr="002260EC">
              <w:t>- 45 млн рублей на постройку 1 га теплицы под ключ ( С энергоблоком, системами автополива, котельной, освещением, подъемниками);</w:t>
            </w:r>
          </w:p>
          <w:p w:rsidR="00167910" w:rsidRPr="002260EC" w:rsidRDefault="00A05AF1">
            <w:r w:rsidRPr="002260EC">
              <w:t>- Минеральная вата ( 0,7 млн рублей/га)</w:t>
            </w:r>
          </w:p>
          <w:p w:rsidR="00167910" w:rsidRPr="002260EC" w:rsidRDefault="00A05AF1">
            <w:r w:rsidRPr="002260EC">
              <w:t xml:space="preserve">- Удобрения 0,1 млн рублей </w:t>
            </w:r>
          </w:p>
          <w:p w:rsidR="00167910" w:rsidRPr="002260EC" w:rsidRDefault="00A05AF1">
            <w:r w:rsidRPr="002260EC">
              <w:t>- 100 тыс. Рублей в месяц попутный газ</w:t>
            </w:r>
          </w:p>
          <w:p w:rsidR="00167910" w:rsidRPr="002260EC" w:rsidRDefault="00A05AF1">
            <w:r w:rsidRPr="002260EC">
              <w:t>- 20 тыс. Рублей ( 1 цикл в год) смена томата Мирлист кистевой;</w:t>
            </w:r>
          </w:p>
          <w:p w:rsidR="00167910" w:rsidRPr="002260EC" w:rsidRDefault="00A05AF1">
            <w:r w:rsidRPr="002260EC">
              <w:t>- 15 тыс. рублей (3 цикла в год) семена огурец Мева среднеплодный гладкий;</w:t>
            </w:r>
          </w:p>
          <w:p w:rsidR="00167910" w:rsidRPr="002260EC" w:rsidRDefault="00A05AF1">
            <w:r w:rsidRPr="002260EC">
              <w:t>- 13 тыс. Рублей (4 цикла в год) салат Батавия Официон;</w:t>
            </w:r>
          </w:p>
          <w:p w:rsidR="00167910" w:rsidRPr="002260EC" w:rsidRDefault="00A05AF1">
            <w:r w:rsidRPr="002260EC">
              <w:t>- 3 млн рублей в год расходы на воду и электричество, обслуживающий персонал.</w:t>
            </w:r>
          </w:p>
          <w:p w:rsidR="00167910" w:rsidRPr="002260EC" w:rsidRDefault="00A05AF1">
            <w:r w:rsidRPr="002260EC">
              <w:t>- 0,5 млн рублей в год расходы на маркетинг</w:t>
            </w:r>
          </w:p>
          <w:p w:rsidR="00167910" w:rsidRPr="002260EC" w:rsidRDefault="00A05AF1">
            <w:r w:rsidRPr="002260EC">
              <w:t>- 3 млн рублей в год расходы на логистику</w:t>
            </w:r>
          </w:p>
          <w:p w:rsidR="00167910" w:rsidRPr="002260EC" w:rsidRDefault="00A05AF1">
            <w:r w:rsidRPr="002260EC">
              <w:t>- 1 млн Рублей в год непредвиденные расходы.</w:t>
            </w:r>
          </w:p>
          <w:p w:rsidR="00167910" w:rsidRDefault="00A05AF1">
            <w:pPr>
              <w:rPr>
                <w:color w:val="FF0000"/>
              </w:rPr>
            </w:pPr>
            <w:r w:rsidRPr="002260EC">
              <w:t>Итого первый год - 54,276 млн рублей</w:t>
            </w:r>
          </w:p>
          <w:p w:rsidR="00167910" w:rsidRDefault="00A05AF1">
            <w:pPr>
              <w:rPr>
                <w:b/>
              </w:rPr>
            </w:pPr>
            <w:r>
              <w:rPr>
                <w:b/>
              </w:rPr>
              <w:t>Ориентировочная выручка на ближайший год, без вычета издержек:</w:t>
            </w:r>
          </w:p>
          <w:p w:rsidR="00167910" w:rsidRDefault="00A05AF1">
            <w:r>
              <w:t>-  Помидоры красные 170 т/год - 38.850.000 рублей</w:t>
            </w:r>
          </w:p>
          <w:p w:rsidR="00167910" w:rsidRDefault="00A05AF1">
            <w:r>
              <w:t>-  Помидоры розовые 100т/год - 27.000.000 рублей</w:t>
            </w:r>
          </w:p>
          <w:p w:rsidR="00167910" w:rsidRDefault="00A05AF1">
            <w:r>
              <w:t>-  Огурцы Мева 300 т /год - 51.000.000 рублей</w:t>
            </w:r>
          </w:p>
          <w:p w:rsidR="00167910" w:rsidRDefault="00A05AF1">
            <w:r>
              <w:t>-  Огурцы 150 т/год - 21.000.000 рублей</w:t>
            </w:r>
          </w:p>
          <w:p w:rsidR="00167910" w:rsidRDefault="00A05AF1">
            <w:r>
              <w:t>- Салат Айсберг 50 т/год - 15.660.000 рублей</w:t>
            </w:r>
          </w:p>
          <w:p w:rsidR="00167910" w:rsidRDefault="00A05AF1">
            <w:r>
              <w:t xml:space="preserve"> Итого: 153.510.000 рублей/год</w:t>
            </w:r>
          </w:p>
        </w:tc>
      </w:tr>
      <w:tr w:rsidR="00167910">
        <w:trPr>
          <w:trHeight w:val="35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Перспективы коммерциализации стартапа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pPr>
              <w:numPr>
                <w:ilvl w:val="0"/>
                <w:numId w:val="2"/>
              </w:numPr>
            </w:pPr>
            <w:r>
              <w:rPr>
                <w:b/>
              </w:rPr>
              <w:t>Размер рынка.</w:t>
            </w:r>
            <w:r>
              <w:t xml:space="preserve"> PAM: по мировым оценкам, к 2025 году глобальный рынок тепличного оборудования оценивается примерно в 10-12 млрд долларов. TAM оценивается приблизительно в 400-600 млн долларов в год, включая строительство новых теплиц и модернизацию существующих. SAM может составлять около 150-300 млн долларов, учитывая специфику спроса и доступность инвестиций. SOM может составлять </w:t>
            </w:r>
            <w:r w:rsidRPr="002260EC">
              <w:t>2000-6000 млн рублей</w:t>
            </w:r>
            <w:r>
              <w:t xml:space="preserve"> </w:t>
            </w:r>
          </w:p>
          <w:p w:rsidR="00167910" w:rsidRDefault="00167910"/>
          <w:p w:rsidR="00167910" w:rsidRDefault="00A05AF1">
            <w:r>
              <w:rPr>
                <w:b/>
              </w:rPr>
              <w:t>2.Тенденции и драйверы рынка</w:t>
            </w:r>
            <w:r>
              <w:t xml:space="preserve">. </w:t>
            </w:r>
          </w:p>
          <w:p w:rsidR="00167910" w:rsidRDefault="00A05AF1">
            <w:r>
              <w:t xml:space="preserve">Импортозамещение.Для современных реалий очень актуален процесс импортозамещения.В 2022г. импорт овощей снизился на 9,2% (на 84,3 тыс. тонн) в сравнении с предыдущим годом. По данным Россельхознадзора импорт овощей и фруктов уменьшился еще на 2%, но при этом экспорт плодоовощной продукции вырос на 55%. Государственная поддержка. На рынке овощей довольно высока возможность государственного регулирования рынка. Потребительский спрос. Официальная статистика Росстата РФ </w:t>
            </w:r>
            <w:r>
              <w:lastRenderedPageBreak/>
              <w:t xml:space="preserve">приводит такие данные: более 100 кг овощей в год съедает средний россиянин (без учета картофеля). Тем не менее Министерство здравоохранения РФ в своих рекомендациях по здоровому питанию советует увеличить потребление овощей и бахчевых культур (помимо картофеля) до 140 кг в год на человека. Аналитики отмечают, что овощи (свежие и приготовленные) – это распространенный продукт в рационе россиян: 46% опрошенных едят их ежедневно. Еще 24% жителей России употребляют овощи 3–5  раз в неделю. </w:t>
            </w:r>
          </w:p>
          <w:p w:rsidR="00167910" w:rsidRDefault="00A05AF1">
            <w:pPr>
              <w:rPr>
                <w:b/>
              </w:rPr>
            </w:pPr>
            <w:r>
              <w:rPr>
                <w:b/>
              </w:rPr>
              <w:t>3.Целевая аудитория по методике Марка Шеррингтона «5</w:t>
            </w:r>
            <w:r>
              <w:rPr>
                <w:b/>
                <w:lang w:val="en-US"/>
              </w:rPr>
              <w:t>W</w:t>
            </w:r>
            <w:r>
              <w:rPr>
                <w:b/>
              </w:rPr>
              <w:t>».</w:t>
            </w:r>
          </w:p>
          <w:p w:rsidR="00167910" w:rsidRDefault="00A05AF1">
            <w:r>
              <w:t>Who? (Кто является целевой аудиторией?)</w:t>
            </w:r>
          </w:p>
          <w:p w:rsidR="00167910" w:rsidRDefault="00A05AF1">
            <w:r>
              <w:t>Основной целевой аудиторией стартапа являются B2B-клиенты: розничные сетевые магазины и отдельные торговые точки (например, «Пятёрочка», «Перекрёсток»), рестораны и кафе (в том числе заведения среднего и премиального сегмента).</w:t>
            </w:r>
          </w:p>
          <w:p w:rsidR="00167910" w:rsidRDefault="00A05AF1">
            <w:r>
              <w:t>What? (Какой продукт они получают?)</w:t>
            </w:r>
          </w:p>
          <w:p w:rsidR="00167910" w:rsidRDefault="00A05AF1">
            <w:r>
              <w:t>Свежую тепличную продукцию (овощи и зелень): высокого качества, с контролируемыми условиями выращивания, с гарантированной свежестью, с регулярными и стабильными поставками.</w:t>
            </w:r>
          </w:p>
          <w:p w:rsidR="00167910" w:rsidRDefault="00A05AF1">
            <w:r>
              <w:t>Why? (Почему они выбирают этот продукт?)</w:t>
            </w:r>
          </w:p>
          <w:p w:rsidR="00167910" w:rsidRDefault="00A05AF1">
            <w:r>
              <w:t>B2B-клиенты заинтересованы в: стабильности поставок вне зависимости от сезона, качестве и свежести продукции, снижении рисков срыва поставок, возможности работать с локальным производителем.</w:t>
            </w:r>
          </w:p>
          <w:p w:rsidR="00167910" w:rsidRDefault="00A05AF1">
            <w:r>
              <w:t>When? (Когда возникает потребность?)</w:t>
            </w:r>
          </w:p>
          <w:p w:rsidR="00167910" w:rsidRDefault="00A05AF1">
            <w:r>
              <w:t>Потребность в продукции тепличного комплекса возникает: круглый год, независимо от сезона, на регулярной основе (ежедневные и еженедельные поставки), особенно остро — в осенне-зимний период, когда доступ к свежим продуктам ограничен.</w:t>
            </w:r>
          </w:p>
          <w:p w:rsidR="00167910" w:rsidRDefault="00A05AF1">
            <w:r>
              <w:t>Where? (Где происходит контакт с продуктом?)</w:t>
            </w:r>
          </w:p>
          <w:p w:rsidR="00167910" w:rsidRDefault="00A05AF1">
            <w:r>
              <w:t>Для B2B-аудитории: через прямые договоры поставки, в розничных сетях, магазинах, в ресторанах и кафе</w:t>
            </w:r>
          </w:p>
        </w:tc>
      </w:tr>
      <w:tr w:rsidR="00167910">
        <w:trPr>
          <w:trHeight w:val="35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lastRenderedPageBreak/>
              <w:t>Технологичность и наукоемкость стартап-проекта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pPr>
              <w:rPr>
                <w:b/>
              </w:rPr>
            </w:pPr>
            <w:r>
              <w:rPr>
                <w:b/>
              </w:rPr>
              <w:t xml:space="preserve">1.Классификация технологий в соответствии с приоритетными направлениями развития. </w:t>
            </w:r>
            <w:r>
              <w:t>Соответствие Стратегии научно-технологического развития РФ (СНТР РФ). В рамках данного приоритета в тепличном комплексе реализуются:технологии круглогодичного выращивания овощей и зелени</w:t>
            </w:r>
          </w:p>
          <w:p w:rsidR="00167910" w:rsidRDefault="00A05AF1">
            <w:r>
              <w:t xml:space="preserve">получение продукции без пестицидов и ГМО </w:t>
            </w:r>
          </w:p>
          <w:p w:rsidR="00167910" w:rsidRDefault="00A05AF1">
            <w:r>
              <w:t>биологические методы защиты растений</w:t>
            </w:r>
          </w:p>
          <w:p w:rsidR="00167910" w:rsidRDefault="00A05AF1">
            <w:pPr>
              <w:rPr>
                <w:b/>
              </w:rPr>
            </w:pPr>
            <w:r>
              <w:t>точный контроль за каждым параметром выращивания: температурой, влажностью, освещенностью, поступлением питательных веществ</w:t>
            </w:r>
            <w:r>
              <w:rPr>
                <w:b/>
              </w:rPr>
              <w:t>.</w:t>
            </w:r>
          </w:p>
          <w:p w:rsidR="00167910" w:rsidRDefault="00A05AF1">
            <w:r>
              <w:rPr>
                <w:b/>
              </w:rPr>
              <w:t xml:space="preserve"> </w:t>
            </w:r>
            <w:r>
              <w:t>Соответствие направлениям приоритетного технологического лидерства (НПТЛ). В рамках данного направления используются:</w:t>
            </w:r>
          </w:p>
          <w:p w:rsidR="00167910" w:rsidRDefault="00A05AF1">
            <w:r>
              <w:t>автоматизированные системы управления тепличным комплексом</w:t>
            </w:r>
          </w:p>
          <w:p w:rsidR="00167910" w:rsidRDefault="00A05AF1">
            <w:r>
              <w:t xml:space="preserve">повседневное использование датчиков контроля всех показателей микроклимата (температуры, влажности, содержания CO2) </w:t>
            </w:r>
          </w:p>
          <w:p w:rsidR="00167910" w:rsidRDefault="00A05AF1">
            <w:pPr>
              <w:rPr>
                <w:b/>
              </w:rPr>
            </w:pPr>
            <w:r>
              <w:t>цифровой контроль на каждом этапе производства.</w:t>
            </w:r>
            <w:r>
              <w:rPr>
                <w:b/>
              </w:rPr>
              <w:t xml:space="preserve"> </w:t>
            </w:r>
          </w:p>
          <w:p w:rsidR="00167910" w:rsidRDefault="00A05A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Отнесение к критическим технологиям РФ.</w:t>
            </w:r>
          </w:p>
          <w:p w:rsidR="00167910" w:rsidRDefault="00A05AF1">
            <w:r>
              <w:t>Технологии Green Grow относятся к следующим критическим технологиям Российской Федерации:технологии производства сельскохозяйственной продукции технологии экологически безопасного производства</w:t>
            </w:r>
          </w:p>
          <w:p w:rsidR="00167910" w:rsidRDefault="00A05AF1">
            <w:r>
              <w:t xml:space="preserve"> Использование сквозных технологий.</w:t>
            </w:r>
          </w:p>
          <w:p w:rsidR="00167910" w:rsidRDefault="00A05AF1">
            <w:r>
              <w:lastRenderedPageBreak/>
              <w:t>В проекте Green Grow применяются и перспективно развиваются сквозные цифровые технологии, включая:цифровые системы мониторинга и анализа производственных данных элементы автоматизации и предпосылки к внедрению искусственного интеллекта для прогнозирования урожайности и оптимизации</w:t>
            </w:r>
            <w:r>
              <w:rPr>
                <w:b/>
              </w:rPr>
              <w:t xml:space="preserve"> </w:t>
            </w:r>
            <w:r>
              <w:t>процессов</w:t>
            </w:r>
          </w:p>
          <w:p w:rsidR="00167910" w:rsidRDefault="00A05AF1">
            <w:r>
              <w:rPr>
                <w:b/>
              </w:rPr>
              <w:t xml:space="preserve">2. Уровень готовности технологии (TRL): </w:t>
            </w:r>
            <w:r w:rsidRPr="002260EC">
              <w:t>TRL 3</w:t>
            </w:r>
          </w:p>
          <w:p w:rsidR="00167910" w:rsidRDefault="00A05AF1">
            <w:pPr>
              <w:rPr>
                <w:b/>
              </w:rPr>
            </w:pPr>
            <w:r>
              <w:rPr>
                <w:b/>
              </w:rPr>
              <w:t xml:space="preserve">3.Описание критических элементов технологии. </w:t>
            </w:r>
          </w:p>
          <w:p w:rsidR="00167910" w:rsidRDefault="00A05AF1">
            <w:r>
              <w:t>Специализированное газогорелочное оборудование, системы очистки и подготовки газа, системы контроля и безопасности для работы с опасным сырьем, эффективная система распределения тепла, инфраструктура для использования попутного газа.</w:t>
            </w:r>
          </w:p>
          <w:p w:rsidR="00167910" w:rsidRDefault="00A05AF1">
            <w:r>
              <w:rPr>
                <w:b/>
              </w:rPr>
              <w:t>4.Концепция продукта и решаемой проблемы</w:t>
            </w:r>
            <w:r>
              <w:t>.</w:t>
            </w:r>
          </w:p>
          <w:p w:rsidR="00167910" w:rsidRDefault="00A05AF1">
            <w:r>
              <w:t>«Green Grow» – современный тепличный комплекс, оснащенный передовыми технологиями, которые позволяют выращивать овощи круглый год. Комплекс обеспечивает высокое качество и свежесть продукции без применения пестицидов и ГМО. Решает проблему утилизации попутного газа. Обычно попутный газ выбрасывается, чем загрязняет экологию, а используя его для подкормки растей угликислым газом и экономии затрат энергии на отопление теплиц, нефтедобывающие компании могут продавать производственные отходы по низким ценам, а теплицы – оптимизировать процесс выращивания. Отопление теплиц с помощью продуктов отхода нефтегазовой промышленности - одно из перспективнейших направлений в данной отрасли. Также, продукция тепличного комплекса закрывает важную потребность – потребление натуральных свежих овощей и зелени круглый год. Сельское хозяйство не может обеспечить постоянное и надежное снабжение свежей продукцией из-за смены времён года, температурных колебаний и аномальных природных явлений, в то время как тепличный комплекс позволяет выращивать овощи и зелень в любое время года.</w:t>
            </w:r>
          </w:p>
        </w:tc>
      </w:tr>
      <w:tr w:rsidR="00167910">
        <w:trPr>
          <w:trHeight w:val="58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lastRenderedPageBreak/>
              <w:t>Наличие потенциала развития стартап-проекта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pPr>
              <w:rPr>
                <w:b/>
              </w:rPr>
            </w:pPr>
            <w:r>
              <w:rPr>
                <w:b/>
              </w:rPr>
              <w:t>1.Уникальное торговое предложение продукта.</w:t>
            </w:r>
          </w:p>
          <w:p w:rsidR="00167910" w:rsidRDefault="00A05AF1">
            <w:r>
              <w:t>Круглогодичное выращивание натуральных овощей и зелени без пестицидов и ГМО с использованием попутного газа как экологичного и энергоэффективного ресурса. Компания не наносит вреда экосистеме, так как не использует химические вещества для удобрения, каждый сезон меняет размещение культур в почве, чтобы грунт не истощался.</w:t>
            </w:r>
          </w:p>
          <w:p w:rsidR="00167910" w:rsidRDefault="00A05AF1">
            <w:pPr>
              <w:rPr>
                <w:b/>
              </w:rPr>
            </w:pPr>
            <w:r>
              <w:rPr>
                <w:b/>
              </w:rPr>
              <w:t>2.Основные конкуренты.</w:t>
            </w:r>
          </w:p>
          <w:p w:rsidR="00167910" w:rsidRDefault="00A05AF1">
            <w:r>
              <w:t>ТК «Журиничи» (Калужская область) — сильные стороны: современная тепличная инфраструктура, опыт работы с торговыми сетями; слабые стороны: небольшие площади, отсутствие экологического и энергетического преимущества.</w:t>
            </w:r>
          </w:p>
          <w:p w:rsidR="00167910" w:rsidRDefault="00A05AF1">
            <w:r>
              <w:t>ТК «ЭкоПродукт» (Брянская область) — сильные стороны: экологичность продукции, современные технологии выращивания; слабые стороны: ограниченные производственные мощности, высокая себестоимость, отсутствие инновационных решений в сфере энергообеспечения.</w:t>
            </w:r>
          </w:p>
          <w:p w:rsidR="00167910" w:rsidRDefault="00A05AF1">
            <w:r>
              <w:t>ТК «Кумир» (Московская область) — сильные стороны: выгодное географическое положение, развитая логистика, устойчивые каналы сбыта; слабые стороны: высокая конкуренция в регионе, большие энергетические затраты, зависимость от внешних энергоресурсов.</w:t>
            </w:r>
          </w:p>
          <w:p w:rsidR="00167910" w:rsidRDefault="00A05AF1">
            <w:r>
              <w:t xml:space="preserve">ТК «Ломан» (Липецкая область) — сильные стороны: крупные </w:t>
            </w:r>
            <w:r>
              <w:lastRenderedPageBreak/>
              <w:t>производственные площади, стабильные объёмы выпуска, отлаженные каналы реализации; слабые стороны: узкая продуктовая линейка, отсутствие экологического и инновационного позиционирования, традиционная энергетическая модель. Косвенные конкуренты:Фермерские хозяйства открытого грунта — сильные стороны: низкая цена продукции в сезон, восприятие как «натурального» продукта; слабые стороны: сезонность производства, нестабильность объёмов и качества, невозможность круглогодичных поставок, зависимость от погодных условий.</w:t>
            </w:r>
          </w:p>
        </w:tc>
      </w:tr>
      <w:tr w:rsidR="00167910">
        <w:trPr>
          <w:trHeight w:val="302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lastRenderedPageBreak/>
              <w:t>Быстрый рост стартап-проекта</w:t>
            </w:r>
          </w:p>
        </w:tc>
        <w:tc>
          <w:tcPr>
            <w:tcW w:w="8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910" w:rsidRDefault="00A05AF1">
            <w:r>
              <w:t>Дорожная карта развития тепличного комплекса Green Grow</w:t>
            </w:r>
          </w:p>
          <w:p w:rsidR="00167910" w:rsidRDefault="00E96F14">
            <w:r>
              <w:t>Этап №.</w:t>
            </w:r>
            <w:r w:rsidR="00A05AF1">
              <w:t>1</w:t>
            </w:r>
            <w:r>
              <w:t>.</w:t>
            </w:r>
            <w:r w:rsidR="00A05AF1">
              <w:t>Идея, концепция и стратегическое позиционирование</w:t>
            </w:r>
          </w:p>
          <w:p w:rsidR="00167910" w:rsidRDefault="00A05AF1">
            <w:r>
              <w:t>Ключевые действия и достижения:</w:t>
            </w:r>
          </w:p>
          <w:p w:rsidR="00167910" w:rsidRDefault="00A05AF1">
            <w:r>
              <w:t>Формирование бренда Green Grow (миссия, видение, ценности, слоган);определение экологической и инновационной концепции тепличного комплекса; проведение SWOT- и PEST-анализа; определение целевой аудитории (B2B и B2C); выбор стратегии проникнов</w:t>
            </w:r>
            <w:bookmarkStart w:id="0" w:name="_GoBack"/>
            <w:bookmarkEnd w:id="0"/>
            <w:r>
              <w:t>ения на рынок (матрица Ансоффа)</w:t>
            </w:r>
          </w:p>
          <w:p w:rsidR="00167910" w:rsidRDefault="00A05AF1">
            <w:r>
              <w:t>Ожидаемые результаты: Сформирована четкая стратегия развития бизнеса; Определены конкурентные преимущества; Создан фундамент для выхода на рынок</w:t>
            </w:r>
          </w:p>
          <w:p w:rsidR="00167910" w:rsidRDefault="00A05AF1">
            <w:r>
              <w:t>Этап №2. Запуск тепличного комплекса и организация производства</w:t>
            </w:r>
          </w:p>
          <w:p w:rsidR="00167910" w:rsidRDefault="00A05AF1">
            <w:r>
              <w:t>Ключевые действия: запуск тепличного комплекса в Оренбургской области; внедрение современных технологий контроля климата, освещения и питания растений; налаживание производственных процессов без применения пестицидов и ГМО; формирование команды специалистов</w:t>
            </w:r>
          </w:p>
          <w:p w:rsidR="00167910" w:rsidRDefault="00A05AF1">
            <w:r>
              <w:t>Ожидаемые результаты: начало стабильного круглогодичного производства овощей и зелени; обеспечение высокого качества и свежести продукции; готовность к коммерческим поставкам</w:t>
            </w:r>
          </w:p>
          <w:p w:rsidR="00167910" w:rsidRDefault="00A05AF1">
            <w:r>
              <w:t>Этап №3.</w:t>
            </w:r>
            <w:r w:rsidR="00E96F14">
              <w:t xml:space="preserve"> </w:t>
            </w:r>
            <w:r>
              <w:t>Выход на рынок и продажи</w:t>
            </w:r>
          </w:p>
          <w:p w:rsidR="00167910" w:rsidRDefault="00A05AF1">
            <w:r>
              <w:t>Ключевые действия:Выход на B2B-рынок; формирование клиентской базы; установление стартовых цен и программ лояльности для партнеров; запуск бренда в информационном поле</w:t>
            </w:r>
          </w:p>
          <w:p w:rsidR="00167910" w:rsidRDefault="00A05AF1">
            <w:r>
              <w:t>Ожидаемые результаты: получение первых стабильных контрактов; рост узнаваемости бренда Green Grow; появление регулярной выручки</w:t>
            </w:r>
          </w:p>
          <w:p w:rsidR="00167910" w:rsidRDefault="00A05AF1">
            <w:r>
              <w:t>Этап №4. Маркетинговое продвижение и укрепление бренда</w:t>
            </w:r>
          </w:p>
          <w:p w:rsidR="00167910" w:rsidRDefault="00A05AF1">
            <w:r>
              <w:t>Ключевые действия: активное ведение социальных сетей (ВК, Telegram, Дзен); участие в отраслевых выставках и ярмарках; проведение дегустаций и пресс-туров на предприятии; развитие визуального стиля и рекламных материалов</w:t>
            </w:r>
          </w:p>
          <w:p w:rsidR="00167910" w:rsidRDefault="00A05AF1">
            <w:r>
              <w:t>Ожидаемые результаты:рост доверия к бренду; увеличение числа B2B- и B2C-клиентов; укрепление позиции на региональном рынке</w:t>
            </w:r>
          </w:p>
          <w:p w:rsidR="00167910" w:rsidRDefault="00A05AF1">
            <w:r>
              <w:t>Этап №5. Масштабирование и расширение ассортимента</w:t>
            </w:r>
          </w:p>
          <w:p w:rsidR="00167910" w:rsidRDefault="00A05AF1">
            <w:r>
              <w:t>Ключевые действия: расширение ассортимента овощей и зелени; культивирование новых видов продукции: оптимизация производственных процессов; выход в соседние регионы</w:t>
            </w:r>
          </w:p>
          <w:p w:rsidR="00167910" w:rsidRDefault="00A05AF1">
            <w:r>
              <w:t>Ожидаемые результаты:увеличение объемов производства; рост доли рынка; снижение зависимости от сезонных колебаний спроса</w:t>
            </w:r>
          </w:p>
          <w:p w:rsidR="00167910" w:rsidRDefault="00A05AF1">
            <w:r>
              <w:t>Этап №6. Укрепление рыночных позиций и лидерства</w:t>
            </w:r>
          </w:p>
          <w:p w:rsidR="00E96F14" w:rsidRDefault="00A05AF1" w:rsidP="00E96F14">
            <w:r>
              <w:t xml:space="preserve">Ключевые действия:вытеснение или поглощение менее эффективных конкурентов; возможная автоматизация и роботизация производства; выход на </w:t>
            </w:r>
            <w:r>
              <w:lastRenderedPageBreak/>
              <w:t>национальный рынок; развитие партнерств и экспортных направлений</w:t>
            </w:r>
          </w:p>
          <w:p w:rsidR="00D27123" w:rsidRDefault="00E96F14" w:rsidP="00E96F14">
            <w:r>
              <w:t xml:space="preserve">Временные рамки для каждого этапа: Этап №.1 – завершен; Этап №.2 </w:t>
            </w:r>
            <w:r w:rsidR="00660709">
              <w:t>–</w:t>
            </w:r>
            <w:r>
              <w:t xml:space="preserve"> </w:t>
            </w:r>
            <w:r w:rsidR="00660709">
              <w:t xml:space="preserve">март 2026г. - февраль 2027г. Этап №.3 – февраль 2027г. – июль 2027г. Этап №.4 – июль 2027г.- декабрь 2027г. Этап №.5 </w:t>
            </w:r>
            <w:r w:rsidR="00D27123">
              <w:t xml:space="preserve">- </w:t>
            </w:r>
            <w:r w:rsidR="00660709">
              <w:t>2027г</w:t>
            </w:r>
            <w:r w:rsidR="00D27123">
              <w:t>.</w:t>
            </w:r>
            <w:r w:rsidR="00660709">
              <w:t xml:space="preserve"> </w:t>
            </w:r>
            <w:r w:rsidR="00D27123">
              <w:t xml:space="preserve">- 2028г. Этап№.6 – 2028г.  </w:t>
            </w:r>
          </w:p>
          <w:p w:rsidR="00167910" w:rsidRDefault="00A05AF1" w:rsidP="00E96F14">
            <w:r>
              <w:t>Ожидаемые результаты: статус одного из лидеров рынка экологически чистых тепличных продуктов; устойчивый рост прибыли: формирование сильного национального бренда Green Grow</w:t>
            </w:r>
          </w:p>
        </w:tc>
      </w:tr>
    </w:tbl>
    <w:p w:rsidR="00167910" w:rsidRDefault="00167910"/>
    <w:p w:rsidR="00167910" w:rsidRDefault="00167910"/>
    <w:sectPr w:rsidR="00167910" w:rsidSect="00167910"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0E" w:rsidRDefault="00E86E0E">
      <w:pPr>
        <w:spacing w:line="240" w:lineRule="auto"/>
      </w:pPr>
      <w:r>
        <w:separator/>
      </w:r>
    </w:p>
  </w:endnote>
  <w:endnote w:type="continuationSeparator" w:id="0">
    <w:p w:rsidR="00E86E0E" w:rsidRDefault="00E8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0E" w:rsidRDefault="00E86E0E">
      <w:r>
        <w:separator/>
      </w:r>
    </w:p>
  </w:footnote>
  <w:footnote w:type="continuationSeparator" w:id="0">
    <w:p w:rsidR="00E86E0E" w:rsidRDefault="00E86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19B5"/>
    <w:multiLevelType w:val="singleLevel"/>
    <w:tmpl w:val="125919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30E5658"/>
    <w:multiLevelType w:val="multilevel"/>
    <w:tmpl w:val="330E5658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A68"/>
    <w:rsid w:val="000A10AF"/>
    <w:rsid w:val="00167910"/>
    <w:rsid w:val="002260EC"/>
    <w:rsid w:val="00660709"/>
    <w:rsid w:val="007E25FB"/>
    <w:rsid w:val="007F5E29"/>
    <w:rsid w:val="00811A68"/>
    <w:rsid w:val="009E68E1"/>
    <w:rsid w:val="00A05AF1"/>
    <w:rsid w:val="00A102D0"/>
    <w:rsid w:val="00B15B1C"/>
    <w:rsid w:val="00BE7D62"/>
    <w:rsid w:val="00D23ED5"/>
    <w:rsid w:val="00D27123"/>
    <w:rsid w:val="00E86E0E"/>
    <w:rsid w:val="00E96F14"/>
    <w:rsid w:val="05135B72"/>
    <w:rsid w:val="0E7969CB"/>
    <w:rsid w:val="14B14FFE"/>
    <w:rsid w:val="24240A74"/>
    <w:rsid w:val="3935786E"/>
    <w:rsid w:val="549D737B"/>
    <w:rsid w:val="5D515F9A"/>
    <w:rsid w:val="68A52C62"/>
    <w:rsid w:val="7B685560"/>
    <w:rsid w:val="7E6C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10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dcterms:created xsi:type="dcterms:W3CDTF">2025-12-17T07:39:00Z</dcterms:created>
  <dcterms:modified xsi:type="dcterms:W3CDTF">2025-12-17T21:48:00Z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B91C1CD2CDCE40ECA76A4618349E1337_12</vt:lpwstr>
  </property>
</Properties>
</file>