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</w:pPr>
      <w:r>
        <w:rPr>
          <w:rFonts w:ascii="Times New Roman" w:hAnsi="Times New Roman" w:eastAsia="Times New Roman" w:cs="Times New Roman"/>
          <w:b w:val="0"/>
          <w:i/>
          <w:sz w:val="24"/>
        </w:rPr>
        <w:t>Приложение 1</w:t>
      </w:r>
    </w:p>
    <w:p>
      <w:pPr>
        <w:spacing w:line="240" w:lineRule="auto" w:before="120" w:after="120"/>
        <w:jc w:val="center"/>
      </w:pPr>
      <w:r>
        <w:rPr>
          <w:rFonts w:ascii="Times New Roman" w:hAnsi="Times New Roman" w:eastAsia="Times New Roman" w:cs="Times New Roman"/>
          <w:b/>
          <w:i w:val="0"/>
          <w:sz w:val="26"/>
        </w:rPr>
        <w:t>ПАСПОРТ СТАРТАП-ПРОЕКТА ДЛЯ ВЫПОЛНЕНИЯ ВЫПУСКНОЙ КВАЛИФИКАЦИОННОЙ РАБОТЫ В ФОРМАТЕ СТАРТАПА</w:t>
      </w:r>
    </w:p>
    <w:p>
      <w:pPr>
        <w:spacing w:line="240" w:lineRule="auto" w:after="160"/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«03» ноября 2025 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6236"/>
            <w:gridSpan w:val="2"/>
            <w:shd w:val="clear" w:color="auto" w:fill="D9D9D9"/>
          </w:tcPr>
          <w:p>
            <w:pPr>
              <w:spacing w:before="40" w:after="40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1. Общая информация о стартап-проекте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Название стартап-проекта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Разработка станции-помощника голограммы «БИМО» для улучшения качества жизни людей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Число участников стартап-проекта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3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Команда стартапа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1. Пономаренко Артём Витальевич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2. Виноградова Анфиса Денисовна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3. Левенец Екатерина Александровна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Новизна стартап-проекта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Создание первого эмоционально-интеллектуального голографического компаньона, который: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визуально присутствует в пространстве пользователя как объёмный 3D-образ (эффект присутствия), а не голос или экран;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обладает эмоциональным интеллектом: распознаёт настроение, запоминает контекст, проявляет инициативу и эмпатию;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проактивно улучшает качество жизни через персонализированную заботу (здоровье, безопасность, общение, борьба с одиночеством);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объединяет передовые технологии искусственного интеллекта, компьютерного зрения и голографии в единую платформу.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Проект формирует новую рыночную категорию — «эмоционально-интеллектуальные компаньоны»; прямых аналогов, сочетающих голографическое «присутствие» и эмоциональный ИИ, на рынке не представлено.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Технологичность и наукоёмкость стартап-проекта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Высокотехнологичная платформа, интегрирующая: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голографическую проекцию;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мультимодальный ИИ (речь, зрение, эмоции);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компьютерное зрение для распознавания жестов и мимики;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сенсорный комплекс (камеры глубины, микрофонные массивы, датчики приближения и движения).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Глубокая наукоёмкость на стыке дисциплин: аффективные вычисления (распознавание эмоций), человеко-машинное взаимодействие, когнитивная наука (восприятие голограмм), оптика. Проект относится к категории Deep Tech с высокими барьерами входа.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Описание стартап-проекта (продукт, технология или услуга)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«БИМО» — персональная голографическая станция-помощник с искусственным интеллектом, создающая интерактивного 3D-компаньона в физическом пространстве пользователя. В отличие от голосовых ассистентов и экранных интерфейсов, «БИМО» обеспечивает естественное взаимодействие через объёмную визуализацию, голос, жесты и эмоциональный интеллект. Ключевые функциональные модули: эмоциональный компаньон (проактивный персонализированный диалог), забота о здоровье (напоминания о приёме лекарств, телемедицина), безопасность (экстренный вызов помощи SOS с оповещением близких), когнитивная геймификация (тренировка памяти и внимания), связь с близкими и управление умным домом. Продукт дополняется приложением-компаньоном для непрерывного взаимодействия вне зоны голограммы.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Уникальная идея бизнеса стартап-проекта (описание проблемы и решения)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Проблема.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Эмоциональное одиночество и дезорганизация повседневной жизни в условиях цифровой эпохи. По данным ВОЗ (2023), с проблемой одиночества сталкивается 25–30% взрослого населения развитых стран, включая Россию; к 2030 году доля граждан старше 60 лет в РФ достигнет ~25%. Существующие голосовые ассистенты лишены «присутствия» и эмпатии и не решают эмоциональную составляющую проблемы.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Решение.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Персональный голографический компаньон «БИМО» с эмоциональным интеллектом, который обеспечивает: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постоянное визуальное присутствие и эмоциональную поддержку;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проактивную помощь в организации дневной рутины;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естественное общение через голос и жесты;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заботу о здоровье и безопасность (напоминания, SOS), интеграцию с умным домом и digital-сервисами.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Продукт формирует здоровую эмоциональную связь «человек—технология», превращая цифровое взаимодействие в полноценное общение.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Наличие потенциала развития стартап-проекта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Высокий потенциал масштабирования: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горизонтальная экспансия: B2C → B2B (дома престарелых, социальные службы, медицинские учреждения, образование);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вертикальное развитие: от устройства к экосистеме сервисов и платформе для сторонних разработчиков;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расширение продуктовой линейки и географии (Россия → СНГ).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Технологическая roadmap: развитие эмоционального ИИ до уровня персонального компаньона-наставника, предиктивная аналитика и персональные рекомендации, интеграция с носимыми медицинскими устройствами.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Рыночные перспективы (Россия): объединённый потенциальный рынок (PAM) ≈ 1 980 млрд ₽, целевой (TAM) ≈ 945 млрд ₽, обслуживаемый (SAM) ≈ 220 млрд ₽; реалистичный охват за 5 лет (SOM) ≈ 12,6 тыс. устройств (≈ 0,96 млрд ₽ с учётом подписок) — менее 0,5% SAM, что подтверждает значительный задел для роста и отсутствие насыщения рынка.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Минимальные стартовые затраты для проведения стартап-проекта (объём и сроки)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Объём инвестиций: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17 млн ₽ (разработка ПО и аппаратной части, CAPEX, оборотный капитал на убыточный период).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Сроки окупаемости: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простой срок окупаемости (PP) — 48 мес.; дисконтированный (DPP) — 57 мес.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Финансовые ориентиры по годам (выручка / чистая прибыль), млн ₽: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2026: 6,7 / −10,7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2027: 36,5 / −4,4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2028: 95,5 / +16,8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2029: 237,3 / +68,7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2030: 578,5 / +193,0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Ключевые показатели эффективности (ставка дисконтирования 24%):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чистая приведённая стоимость (NPV) +5,55 млн ₽; внутренняя норма доходности (IRR) 29,6% (превышает ставку дисконтирования); индекс рентабельности (PI) 1,33.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Быстрый рост стартапа (да/нет, при ответе «да» указать предполагаемые даты)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Да, быстрый рост ожидается.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Горизонт планирования — 2026–2030 годы.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Прогнозируемые темпы роста выручки: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2027 — +445% (с 6,7 до 36,5 млн ₽);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2028 — +162% (до 95,5 млн ₽);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2029 — +148% (до 237,3 млн ₽);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2030 — +144% (до 578,5 млн ₽).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Ключевые вехи: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2026–2027 — вывод продукта на рынок и наращивание подписной базы (стадия инвестиций);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2028 — выход на годовую и накопленную чистую прибыль (+16,8 млн ₽);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2029–2030 — ускорение чистой прибыли (+68,7 → +193,0 млн ₽).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«Эффект снежного кома»: к 2030 году суммарная база подписчиков превышает 100 тыс. человек при ≈ 12,6 тыс. проданных устройств — возобновляемый доход от подписок кратно превышает доход от продажи оборудования.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Перспективы коммерциализации стартапа (перечислить основные)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Каналы монетизации: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разовая продажа устройства (45 000 ₽) и две подписки на ПО и сервисы — Базовая (990 ₽/мес) и Продвинутая (1 990 ₽/мес). Гибридная модель: на старте основной доход — продажа устройств, по мере роста базы доминирует возобновляемая подписная выручка.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Финансовые показатели: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суммарная выручка за 2026–2030 ≈ 954 млн ₽; выход на прибыль с 2028 года; NPV +5,55 млн ₽; IRR 29,6%; PI 1,33; окупаемость 48 мес.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Преимущества модели: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диверсификация доходов (устройство + подписки); высокая маржинальность (устройство 52,5%, подписки 92% и 85%); регулярный возобновляемый доход; снижение доли постоянных расходов при масштабировании.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Каналы сбыта: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прямые онлайн-продажи, партнёрства с социальными и медицинскими учреждениями, ритейл-партнёры, работа с лидерами мнений. Go-to-market в три этапа: MVP-пилот → продвижение и партнёрская сеть → масштабирование и выход в B2B.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Риски и возможности: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риски — высокая стоимость на старте, зависимость от продаж устройств, регуляторика (152-ФЗ); возможности — рост доли подписок, выход в B2B, государственная поддержка «серебряной экономики».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Масштабируемость стартап-проекта (модель)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Технологическая масштабируемость: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модульная архитектура платформы; облачная инфраструктура; готовность к росту нагрузки и числа одновременных пользователей.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Рыночная масштабируемость: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B2C → B2B-экспансия (здравоохранение, социальные службы, образование); географическое расширение (Россия → СНГ → международные рынки); диверсификация продуктовой линейки.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Операционная масштабируемость: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стандартизация сборки и внедрения; мультисорсинг компонентов; партнёрская сеть установки и поддержки; непрерывная поставка обновлений ПО.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Финансовая масштабируемость: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эффект масштаба в производстве (снижение себестоимости); рост маржинальности при увеличении объёмов; мультипликация дохода за счёт кумулятивного роста базы подписчиков.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Обоснование соответствия бизнес-идеи технологическому направлению (основные технологические параметры)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Ключевые технологические параметры: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голографическая проекция; мультимодальная ИИ-платформа (распознавание речи, эмоций, жестов); компьютерное зрение (отслеживание позы и мимики); сенсорный комплекс (камеры глубины, микрофонные массивы, датчики приближения).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Технологическая новизна: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синтез голографии и эмоционального ИИ; пространственное взаимодействие с цифровым ассистентом; контекстное понимание окружающей среды.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Соответствие технологическим трендам: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аффективные вычисления (Affective Computing), бесконтактные интерфейсы (Zero UI), персонализированные ИИ-ассистенты, экосистема умного дома, цифровое здоровье.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Технологические барьеры: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стабильность голограммы в домашних условиях; латентность ИИ-обработки в реальном времени (целевой отклик &lt; 2 сек); точность распознавания эмоций.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Проект соответствует технологическим направлениям: Artificial Intelligence, Human-Computer Interaction, Computer Vision, Holography / Augmented Reality.</w:t>
            </w:r>
          </w:p>
        </w:tc>
      </w:tr>
      <w:tr>
        <w:tc>
          <w:tcPr>
            <w:tcW w:type="dxa" w:w="6236"/>
            <w:gridSpan w:val="2"/>
            <w:shd w:val="clear" w:color="auto" w:fill="D9D9D9"/>
          </w:tcPr>
          <w:p>
            <w:pPr>
              <w:spacing w:before="40" w:after="40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2. Порядок и структура финансирования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Предполагаемый объём финансового обеспечения стартап-проекта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Потребность в первоначальных инвестициях — 17 млн ₽. Средства покрывают три направления: капитализированную разработку ПО и аппаратной части (основная доля CAPEX — 3,25 млн ₽), приобретение производственного оборудования (3D-принтер, пресс-форма, стенд тестирования, оборудование сборки; CAPEX итого ≈ 4,56 млн ₽) и формирование оборотного капитала для покрытия операционных расходов в течение убыточного периода (2026–2027). Окупаемость подтверждена финансовой моделью: PP 48 мес., NPV +5,55 млн ₽, IRR 29,6%, PI 1,33. Привлечение основной части средств планируется через венчурные инвестиции и собственные средства команды, с дополнением грантовой и государственной поддержкой.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Предполагаемые источники финансирования стартап-проекта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ind w:left="283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привлечённые (венчурные) инвестиции;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грантовая поддержка и государственные программы поддержки инноваций («Цифровая экономика», «серебряная экономика»);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собственные средства команды;</w:t>
            </w:r>
          </w:p>
          <w:p>
            <w:pPr>
              <w:spacing w:line="240" w:lineRule="auto" w:after="40"/>
              <w:ind w:left="283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•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реинвестирование операционной прибыли (на стадии роста).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Оценка потенциала «рынка» и рентабельности стартап-проекта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Потенциал рынка (Россия).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Рынок умного дома ≈ 150 млрд ₽ (2024) при среднегодовом росте 15–18%; смежные быстрорастущие рынки — голосовые ассистенты, цифровое здоровье и телемедицина. Оценка рынка по двум целевым сегментам (пожилые 60+; люди, страдающие одиночеством, любого возраста): PAM ≈ 1 980 млрд ₽, TAM ≈ 945 млрд ₽, SAM ≈ 220 млрд ₽; SOM за 5 лет ≈ 12,6 тыс. устройств (≈ 0,96 млрд ₽ с учётом подписок).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Рентабельность.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Маржинальность устройства — 52,5%, подписок — 92% (Базовая) и 85% (Продвинутая); NPV +5,55 млн ₽; IRR 29,6% (превышает ставку дисконтирования 24%); PI 1,33; окупаемость 48 мес.; выход на устойчивую прибыльность с 2028 года.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Конкурентные преимущества.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Единственный голографический компаньон с эмоциональным ИИ; технологическое лидерство и формирование новой рыночной категории; одновременное закрытие функциональной (организация быта, здоровье, безопасность) и эмоциональной (борьба с одиночеством) потребности в едином «присутствующем» интерфейсе.</w:t>
            </w:r>
          </w:p>
          <w:p>
            <w:pPr>
              <w:spacing w:line="240" w:lineRule="auto" w:after="40"/>
              <w:jc w:val="both"/>
            </w:pPr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 xml:space="preserve"> Проект обладает значительным рыночным потенциалом и подтверждённой финансовой моделью рентабельностью.</w:t>
            </w:r>
          </w:p>
        </w:tc>
      </w:tr>
      <w:tr>
        <w:tc>
          <w:tcPr>
            <w:tcW w:type="dxa" w:w="6236"/>
            <w:gridSpan w:val="2"/>
            <w:shd w:val="clear" w:color="auto" w:fill="D9D9D9"/>
          </w:tcPr>
          <w:p>
            <w:pPr>
              <w:spacing w:before="40" w:after="40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3. Команда стартапа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Ф.И.О.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Выполняемые работы в стартап-проекте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Пономаренко Артём Витальевич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Руководитель проекта; аналитика, финансово-экономическое моделирование, дизайн, технические решения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Виноградова Анфиса Денисовна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Маркетинг и коммуникации; визуализация, контент, бренд</w:t>
            </w:r>
          </w:p>
        </w:tc>
      </w:tr>
      <w:tr>
        <w:tc>
          <w:tcPr>
            <w:tcW w:type="dxa" w:w="3402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4"/>
              </w:rPr>
              <w:t>Левенец Екатерина Александровна</w:t>
            </w:r>
          </w:p>
        </w:tc>
        <w:tc>
          <w:tcPr>
            <w:tcW w:type="dxa" w:w="6236"/>
          </w:tcPr>
          <w:p>
            <w:pPr>
              <w:spacing w:line="240" w:lineRule="auto" w:after="40"/>
              <w:jc w:val="both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</w:rPr>
              <w:t>Клиентские исследования и аналитика; глубинные интервью, клиент-менеджмент</w:t>
            </w:r>
          </w:p>
        </w:tc>
      </w:tr>
    </w:tbl>
    <w:sectPr w:rsidR="00FC693F" w:rsidRPr="0006063C" w:rsidSect="00034616">
      <w:pgSz w:w="12240" w:h="15840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