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99" w:type="dxa"/>
        <w:tblInd w:w="-696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4"/>
        <w:gridCol w:w="8455"/>
      </w:tblGrid>
      <w:tr w14:paraId="31565EC2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44" w:type="dxa"/>
            <w:tcBorders>
              <w:top w:val="nil"/>
            </w:tcBorders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BFE71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Критерий оценки</w:t>
            </w:r>
          </w:p>
        </w:tc>
        <w:tc>
          <w:tcPr>
            <w:tcW w:w="8455" w:type="dxa"/>
            <w:tcBorders>
              <w:top w:val="nil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1959FC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Стартап-проект «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NeuroProduction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</w:tr>
      <w:tr w14:paraId="35B006E3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4" w:type="dxa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7B961C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Число участников стартап-проекта и их компетенции</w:t>
            </w:r>
          </w:p>
        </w:tc>
        <w:tc>
          <w:tcPr>
            <w:tcW w:w="8455" w:type="dxa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2FDF5F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1. Анищенко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Денис Дмитриевич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Лидер проекта /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CEO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Основные компетенции: управление проектами, выстраивание бизнес-процессов, коммуникация с клиентами, опыт в креативной индустрии.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Отяковский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Дмитрий Сергеевич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AI-специалист / Технический директор.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Основные компетенции: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prompt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-инжиниринг для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Midjourney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Veo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3,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GPT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-5, построение пайплайнов генерации, интеграция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-инструментов.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3. Гуменюк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Виктория Викторовна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, Креативный директор / Продакт-менеджер.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Основные компетенции: разработка креативной концепции, постановка ТЗ для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, контроль качества финального продукта, опыт в рекламе или дизайне.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4. Бадюл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Дарья Викторовна</w:t>
            </w:r>
            <w:bookmarkStart w:id="0" w:name="_GoBack"/>
            <w:bookmarkEnd w:id="0"/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, Специалист по маркетингу и продажам.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Основные компетенции: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-продажи, контент-маркетинг, работа с социальными сетями и отраслевыми сообществами.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5. Жаворонков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Илья Сергеевич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, Юрист (консультант).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Основные компетенции: интеллектуальная собственность, составление лицензионных договоров и соглашений для цифровых двойников.</w:t>
            </w:r>
          </w:p>
        </w:tc>
      </w:tr>
      <w:tr w14:paraId="11FB71D7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4" w:type="dxa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3F32AB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Минимальные стартовые затраты стартап-проекта</w:t>
            </w:r>
          </w:p>
        </w:tc>
        <w:tc>
          <w:tcPr>
            <w:tcW w:w="8455" w:type="dxa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34ACAB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План доходов и расходов (на первый год операционной деятельности)</w:t>
            </w:r>
          </w:p>
          <w:p w14:paraId="12CBD7E1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E8D3551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Инвестиции на запуск проекта (капитальные затраты):</w:t>
            </w:r>
          </w:p>
          <w:p w14:paraId="3A96E6AB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Оборудование и ПО: 300 000 руб. (2 рабочих места с мощными ПК для рендеринга, коммерческие подписки на Midjourney, доступ к API GPT-5/аналогам).</w:t>
            </w:r>
          </w:p>
          <w:p w14:paraId="4EC06896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Первоначальный маркетинг и пиар: 150 000 руб. (создание сайта-портфолио, презентационных материалов, участие в 1-2 отраслевых мероприятиях).</w:t>
            </w:r>
          </w:p>
          <w:p w14:paraId="5032148F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Юридическое оформление: 50 000 руб. (регистрация ИП/ООО, разработка типовых договоров и соглашений для цифровых двойников).</w:t>
            </w:r>
          </w:p>
          <w:p w14:paraId="4F45F9F8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Операционный буфер на первые 3 месяца: 240 000 руб. (покрытие частичных зарплат команде до поступления первых платежей).</w:t>
            </w:r>
          </w:p>
          <w:p w14:paraId="24D588D1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требуемые инвестиции на запуск: 740 000 руб.</w:t>
            </w:r>
          </w:p>
          <w:p w14:paraId="7E0F6546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15C8A9A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Доходы и текущие расходы (помесячно, прогноз на первый год):</w:t>
            </w:r>
          </w:p>
          <w:p w14:paraId="3F2B4223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Доходы: Консервативный прогноз — выполнение 2-3 проектов по AI-продакшну в месяц со средним чеком 150 000 руб. К концу года возможен рост до 3-4 проектов и заключение 1-2 пилотных контрактов на цифровых двойников с авансом.</w:t>
            </w:r>
          </w:p>
          <w:p w14:paraId="3DEF5CD1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Текущие расходы (ежемесячные):</w:t>
            </w:r>
          </w:p>
          <w:p w14:paraId="573F3AC0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 Заработная плата команды (5 человек на частичной занятости/проектной основе): 200 000 руб.</w:t>
            </w:r>
          </w:p>
          <w:p w14:paraId="47B0D58B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 Аренда коворкинга и коммунальные расходы: 20 000 руб.</w:t>
            </w:r>
          </w:p>
          <w:p w14:paraId="74101066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 Подписки на облачные сервисы и AI-инструменты: 25 000 руб.</w:t>
            </w:r>
          </w:p>
          <w:p w14:paraId="2833BB92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 Прочие операционные расходы (реклама, связь): 15 000 руб.</w:t>
            </w:r>
          </w:p>
          <w:p w14:paraId="59B401E0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Итого средние ежемесячные расходы: ~260 000 руб.</w:t>
            </w:r>
          </w:p>
          <w:p w14:paraId="7C99F37C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ABE8979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Финансовый результат (прогноз): При выходе на плановые 2-3 проекта в месяц (выручка 300 000 – 450 000 руб.) проект достигает операционной безубыточности на 4-6 месяц. Цель первого года — выручка в 3,5 – 4,5 млн руб. и выход на чистую прибыль.</w:t>
            </w:r>
          </w:p>
          <w:p w14:paraId="322B7188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BDDD352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Источники финансирования и инвесторы:</w:t>
            </w:r>
          </w:p>
          <w:p w14:paraId="0FB4E511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Собственные средства учредителей: Основной источник для покрытия стартовых затрат (ориентировочно 50-70% от требуемой суммы).</w:t>
            </w:r>
          </w:p>
          <w:p w14:paraId="7BE2E814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Грант «Стартап как диплом»: Целевое финансирование для студенческих предпринимательских проектов. Планируемый объём — до 500 000 руб. на развитие технологической базы.</w:t>
            </w:r>
          </w:p>
          <w:p w14:paraId="69EF4D8A">
            <w:pP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Бизнес-инкубатор РЭУ (ХАЙВ): Неденежная поддержка: менторство, нетворкинг, доступ к инфраструктуре, юридические консультации.</w:t>
            </w:r>
          </w:p>
          <w:p w14:paraId="6F1E6CD6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Ангельские инвестиции: В перспективе 6-9 месяцев — привлечение частного инвестора для масштабирования (разработка платформы для цифровых двойников, усиление маркетинга). Планируемый раунд: 2-3 млн руб. за 10-15% доли.</w:t>
            </w:r>
          </w:p>
        </w:tc>
      </w:tr>
      <w:tr w14:paraId="1F30CD15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4" w:type="dxa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1DAA1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Перспективы коммерциализации стартапа</w:t>
            </w:r>
          </w:p>
        </w:tc>
        <w:tc>
          <w:tcPr>
            <w:tcW w:w="8455" w:type="dxa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C5E46E">
            <w:pPr>
              <w:numPr>
                <w:ilvl w:val="0"/>
                <w:numId w:val="1"/>
              </w:num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Размер рынка: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TAM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(Общий адресуемый рынок): Рынок креативных и рекламных услуг в России — 904 млрд руб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SAM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(Доступный рынок): Рынок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digital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-продакшна и визуального контента для рекламы,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SMM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 корпоративных нужд в крупных городах России  — 542,7 млрд руб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SOM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(Достижимый рынок): Креативные агентства, бренды и медиа-компании в Москве, готовые к пилотным проектам с новыми технологиями  — 39.3 млрд руб.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Оценка на первый год — 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2.4 млн руб, 0.0061% рынка</w:t>
            </w:r>
          </w:p>
          <w:p w14:paraId="75E8A61C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2. Рост всего рынка в 2024 году — 24%.</w:t>
            </w:r>
          </w:p>
          <w:p w14:paraId="2280F311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Взрывной рост (на 53%) рынка интерактивной интернет-рекламы до 1,24 трлн руб., что напрямую увеличивает спрос на контент.</w:t>
            </w:r>
          </w:p>
          <w:p w14:paraId="3D3403BF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Ожидаемый рост рынка в 2025 году по консенсус-прогнозу — около 9.3% 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ADPASS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61E6B914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BD368AD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3. Целевая аудитория (5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):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Who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?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(Кто?) — Менеджеры проектов, маркетологи и креативные директора в рекламных агентствах,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digital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-отделах брендов 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FMCG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retail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), студиях дизайна.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What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?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(Что нужно?) — Быстрое и менее затратное производство качественного фото/видео контента для рекламных кампаний, соцсетей, презентаций.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Why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?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(Почему есть потребность?) — Снижение бюджета на производство, ускорение вывода креатива на рынок, тестирование большего количества гипотез.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When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?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(Когда обращаются?) — При планировании новых кампаний, когда бюджет или сроки ограничены, а также для нестандартных или экспериментальных задач.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Where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?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(Где искать?) — На отраслевых мероприятиях (конференции, митапы), в профессиональных сообществах в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LinkedIn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Telegram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, через партнерские сети.</w:t>
            </w:r>
          </w:p>
        </w:tc>
      </w:tr>
      <w:tr w14:paraId="394A7A09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4" w:type="dxa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B42068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Технологичность и наукоемкость стартап-проекта</w:t>
            </w:r>
          </w:p>
        </w:tc>
        <w:tc>
          <w:tcPr>
            <w:tcW w:w="8455" w:type="dxa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D83BFA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1. Классификация технологии: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Соответствует приоритетным направлениям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«Цифровые технологии»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(Информационные технологии) и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«Креативные технологии»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(дизайн, кинопроизводство) согласно Приложению 2 методички.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2. Уровень готовности технологии 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TRL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):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TRL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7-8.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Технологический пайплайн (интеграция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Midjourney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Veo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3,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GPT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-5) отработан и протестирован в реальных пилотных проектах (например, для Мариинского театра, РУДН).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3. Критические элементы технологии: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Экспертный промпт-инжиниринг: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Навыки составления и последовательности запросов для получения предсказуемого, качественного и консистентного результата от нейросетей.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Пайплайн контроля качества и постпродакшна: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Процесс отбора, доработки и интеграции сгенерированных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-материалов в финальный продукт (апскейлинг, цветокоррекция, композитинг).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Юридическая модель цифровых двойников: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Разработка шаблонов лицензионных соглашений и смарт-контрактов для легального использования и монетизации биометрических данных.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4. Концепция продукта: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Продукт — это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услуга управляемого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-продакшна, а не просто доступ к нейросети. Мы решаем проблему высоких затрат и долгого времени производства визуального контента, выступая технологичным партнером, который берет на себя техническую сложность работы с ИИ, гарантируя клиенту креативный результат.</w:t>
            </w:r>
          </w:p>
        </w:tc>
      </w:tr>
      <w:tr w14:paraId="7466D345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4" w:type="dxa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0EE9AF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Наличие потенциала развития стартап-проекта</w:t>
            </w:r>
          </w:p>
        </w:tc>
        <w:tc>
          <w:tcPr>
            <w:tcW w:w="8455" w:type="dxa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7D6B81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1. Уникальное торговое предложение продукта:</w:t>
            </w:r>
          </w:p>
          <w:p w14:paraId="2E4E5EEA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«Легальные цифровые двойники как услуга и экосистема. В отличие от конкурентов, мы предлагаем не просто генерацию контента, а создаем и управляем легальными цифровыми активами  знаменитостей. Это позволяет брендам в разы снижать стоимость и время съёмок со звездой, а знаменитостям — открывать новую статью пассивного дохода. Наша экспертиза — на стыке креативного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-продакшна, юридического оформления и актёрского брендинга».</w:t>
            </w:r>
          </w:p>
          <w:p w14:paraId="62D5DFDE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5F40B22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2. Основные конкуренты:</w:t>
            </w:r>
          </w:p>
          <w:p w14:paraId="0D9EF28F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• Прямые конкуренты (молодые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-агентства, фрилансеры):</w:t>
            </w:r>
          </w:p>
          <w:p w14:paraId="15246760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Что есть у них/чего нет у нас: Низкий порог входа, минимальные цены, скорость выполнения простых задач.</w:t>
            </w:r>
          </w:p>
          <w:p w14:paraId="0DD11D9E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Что есть у нас/чего нет у них: Полный цикл «под ключ» с креативным контролем, гарантированное качество и консистентность бренда, уникальная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-модель с цифровыми двойниками, глубокое понимание рекламного производства, подтверждённые кейсы для крупных институций.</w:t>
            </w:r>
          </w:p>
          <w:p w14:paraId="058C2F9A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45C1EFF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Косвенные конкуренты (традиционные продакшн- и дизайн-студии):</w:t>
            </w:r>
          </w:p>
          <w:p w14:paraId="1CB5392C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Что есть у них/чего нет у нас: Устоявшаяся репутация, долгосрочные отношения с крупными клиентами, доступ к полноценным съёмочным мощностям для сложных проектов.</w:t>
            </w:r>
          </w:p>
          <w:p w14:paraId="0F9AB39A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Что есть у нас/чего нет у них: Скорость и экономическая эффективность за счёт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-технологий, инновационная услуга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digital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twins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гибкость и адаптивность, возможность быстрого прототипирования и итераций, значительно более низкая стоимость при сопоставимом финальном качестве для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digital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-каналов</w:t>
            </w:r>
          </w:p>
        </w:tc>
      </w:tr>
      <w:tr w14:paraId="2C4B7B4A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4" w:type="dxa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A0598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Быстрый рост стартап-проекта</w:t>
            </w:r>
          </w:p>
        </w:tc>
        <w:tc>
          <w:tcPr>
            <w:tcW w:w="8455" w:type="dxa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F2218E">
            <w:pP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Дорожная карта проекта: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1. Ключевые этапы: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Достигнуто: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Формирование команды и экспертизы. Выполнение пилотных (тестовых) проектов, подтвердивших методологию.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Планируется (0-6 месяцев):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Запуск коммерческой деятельности. Формализация услуг и упаковка кейсов. Привлечение первых 5-7 платных клиентов.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Планируется (6-12 месяцев):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Выход на операционную безубыточность. Начало разработки и тестирования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MVP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платформы для работы с цифровыми двойниками. Переговоры с первыми потенциальными партнерами-знаменитостями.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Планируется (12-18 месяцев):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Масштабирование. Расширение команды. Активный поиск инвестиций для развития технологической платформы.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2. Временные рамки: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Указаны выше в рамках этапов (0-6, 6-12, 12-18 месяцев).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3. Ожидаемые результаты: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К концу 6 месяцев: Портфолио из 5-7 крупных реализованных проектов, отлаженный процесс работы, стабильный поток входящих заявок.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К концу 12 месяцев: Финансовая самоокупаемость проекта, готовый прототип платформы цифровых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двойников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, подписанные партнерские соглашения.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• К концу 18 месяцев: Привлечение внешнего финансирования, масштабирование команды и выход на новые рыночные сегменты.</w:t>
            </w:r>
          </w:p>
        </w:tc>
      </w:tr>
    </w:tbl>
    <w:p w14:paraId="7DAEE675">
      <w:pPr>
        <w:rPr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346E1"/>
    <w:multiLevelType w:val="singleLevel"/>
    <w:tmpl w:val="BEE346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802FE"/>
    <w:rsid w:val="004E2434"/>
    <w:rsid w:val="00CA3F84"/>
    <w:rsid w:val="10827FEE"/>
    <w:rsid w:val="3376460B"/>
    <w:rsid w:val="45C81CCF"/>
    <w:rsid w:val="62302654"/>
    <w:rsid w:val="7498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1095</Words>
  <Characters>6248</Characters>
  <Lines>52</Lines>
  <Paragraphs>14</Paragraphs>
  <TotalTime>63</TotalTime>
  <ScaleCrop>false</ScaleCrop>
  <LinksUpToDate>false</LinksUpToDate>
  <CharactersWithSpaces>7329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2025-12-08T11:35:00Z</dcterms:created>
  <dc:creator>An_ Denchik</dc:creator>
  <cp:lastModifiedBy>An_ Denchik</cp:lastModifiedBy>
  <dcterms:modified xsi:type="dcterms:W3CDTF">2025-12-14T20:59:30Z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FC3BB5FF0D35411BAD38DAAABD36B597_11</vt:lpwstr>
  </property>
</Properties>
</file>