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43"/>
        <w:gridCol w:w="7002"/>
      </w:tblGrid>
      <w:tr w:rsidR="00984E76" w:rsidRPr="00023EFE" w14:paraId="430905FF" w14:textId="77777777" w:rsidTr="00E11AFE">
        <w:tc>
          <w:tcPr>
            <w:tcW w:w="2169" w:type="dxa"/>
          </w:tcPr>
          <w:p w14:paraId="6BA0AD69" w14:textId="77777777" w:rsidR="00984E76" w:rsidRPr="00843C8D" w:rsidRDefault="00984E76" w:rsidP="00984E76">
            <w:pPr>
              <w:pStyle w:val="ad"/>
              <w:shd w:val="clear" w:color="auto" w:fill="FFFFFF"/>
              <w:rPr>
                <w:b/>
                <w:bCs/>
              </w:rPr>
            </w:pPr>
            <w:r w:rsidRPr="00843C8D">
              <w:rPr>
                <w:b/>
                <w:bCs/>
              </w:rPr>
              <w:t xml:space="preserve">Число участников стартап-проекта и их компетенции </w:t>
            </w:r>
          </w:p>
          <w:p w14:paraId="7771D507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0A19B2B9" w14:textId="45A10172" w:rsidR="000A5CF0" w:rsidRPr="00023EFE" w:rsidRDefault="000A5CF0" w:rsidP="000A5CF0">
            <w:pPr>
              <w:pStyle w:val="ad"/>
            </w:pPr>
            <w:r w:rsidRPr="00843C8D">
              <w:rPr>
                <w:rStyle w:val="ae"/>
                <w:rFonts w:eastAsiaTheme="majorEastAsia"/>
              </w:rPr>
              <w:t>Участник №1</w:t>
            </w:r>
            <w:r w:rsidRPr="00023EFE">
              <w:br/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ФИО:</w:t>
            </w:r>
            <w:r w:rsidRPr="00023EFE">
              <w:t xml:space="preserve"> </w:t>
            </w:r>
            <w:proofErr w:type="spellStart"/>
            <w:r w:rsidRPr="00023EFE">
              <w:t>Полеаев</w:t>
            </w:r>
            <w:proofErr w:type="spellEnd"/>
            <w:r w:rsidRPr="00023EFE">
              <w:t xml:space="preserve"> Артемий Андреевич</w:t>
            </w:r>
            <w:r w:rsidRPr="00023EFE">
              <w:br/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Роль в проекте:</w:t>
            </w:r>
            <w:r w:rsidRPr="00023EFE">
              <w:t xml:space="preserve"> сооснователь, руководитель по развитию и бизнес-компоненте проекта (CEO / бизнес-</w:t>
            </w:r>
            <w:proofErr w:type="spellStart"/>
            <w:r w:rsidRPr="00023EFE">
              <w:t>лид</w:t>
            </w:r>
            <w:proofErr w:type="spellEnd"/>
            <w:r w:rsidRPr="00023EFE">
              <w:t>).</w:t>
            </w:r>
            <w:r w:rsidRPr="00023EFE">
              <w:br/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Основные компетенции:</w:t>
            </w:r>
            <w:r w:rsidRPr="00023EFE">
              <w:t xml:space="preserve"> стратегическое и операционное управление стартап-проектом, формирование бизнес-модели и финансовой модели (TAM/SAM/SOM, юнит-экономика, план доходов и расходов), анализ рынка и конкурентной среды, подготовка и защита проектной документации (паспорт проекта, презентации для инвесторов и грантовых конкурсах). Опыт участия и ведения технологических и инновационных проектов в рамках вузовских программ, </w:t>
            </w:r>
            <w:proofErr w:type="gramStart"/>
            <w:r w:rsidRPr="00843C8D">
              <w:rPr>
                <w:color w:val="000000" w:themeColor="text1"/>
              </w:rPr>
              <w:t>акселератор</w:t>
            </w:r>
            <w:r w:rsidR="00843C8D" w:rsidRPr="00843C8D">
              <w:rPr>
                <w:color w:val="000000" w:themeColor="text1"/>
              </w:rPr>
              <w:t>(</w:t>
            </w:r>
            <w:proofErr w:type="spellStart"/>
            <w:r w:rsidR="00843C8D" w:rsidRPr="00843C8D">
              <w:rPr>
                <w:color w:val="000000" w:themeColor="text1"/>
              </w:rPr>
              <w:t>ХайвАеро</w:t>
            </w:r>
            <w:proofErr w:type="spellEnd"/>
            <w:r w:rsidR="00843C8D" w:rsidRPr="00843C8D">
              <w:rPr>
                <w:color w:val="000000" w:themeColor="text1"/>
              </w:rPr>
              <w:t xml:space="preserve">) </w:t>
            </w:r>
            <w:r w:rsidRPr="00843C8D">
              <w:rPr>
                <w:color w:val="000000" w:themeColor="text1"/>
              </w:rPr>
              <w:t xml:space="preserve"> и</w:t>
            </w:r>
            <w:proofErr w:type="gramEnd"/>
            <w:r w:rsidRPr="00843C8D">
              <w:rPr>
                <w:color w:val="000000" w:themeColor="text1"/>
              </w:rPr>
              <w:t xml:space="preserve"> кейс-</w:t>
            </w:r>
            <w:proofErr w:type="gramStart"/>
            <w:r w:rsidRPr="00843C8D">
              <w:rPr>
                <w:color w:val="000000" w:themeColor="text1"/>
              </w:rPr>
              <w:t>чемпионат</w:t>
            </w:r>
            <w:r w:rsidR="00843C8D" w:rsidRPr="00843C8D">
              <w:rPr>
                <w:color w:val="000000" w:themeColor="text1"/>
              </w:rPr>
              <w:t>а(</w:t>
            </w:r>
            <w:proofErr w:type="gramEnd"/>
            <w:r w:rsidR="00843C8D" w:rsidRPr="00843C8D">
              <w:rPr>
                <w:color w:val="000000" w:themeColor="text1"/>
                <w:lang w:val="en-US"/>
              </w:rPr>
              <w:t>Cup</w:t>
            </w:r>
            <w:r w:rsidR="00843C8D" w:rsidRPr="00843C8D">
              <w:rPr>
                <w:color w:val="000000" w:themeColor="text1"/>
              </w:rPr>
              <w:t xml:space="preserve"> </w:t>
            </w:r>
            <w:r w:rsidR="00843C8D" w:rsidRPr="00843C8D">
              <w:rPr>
                <w:color w:val="000000" w:themeColor="text1"/>
                <w:lang w:val="en-US"/>
              </w:rPr>
              <w:t>Russia</w:t>
            </w:r>
            <w:r w:rsidR="00843C8D" w:rsidRPr="00843C8D">
              <w:rPr>
                <w:color w:val="000000" w:themeColor="text1"/>
              </w:rPr>
              <w:t xml:space="preserve"> 2025)</w:t>
            </w:r>
            <w:r w:rsidRPr="00843C8D">
              <w:rPr>
                <w:color w:val="000000" w:themeColor="text1"/>
              </w:rPr>
              <w:t xml:space="preserve">; навыки выстраивания партнёрств с профильными организациями </w:t>
            </w:r>
            <w:r w:rsidRPr="00023EFE">
              <w:t xml:space="preserve">(НКО, реабилитационные центры, фонды), ведения переговоров и привлечения начального финансирования. Отвечает за общую стратегию </w:t>
            </w:r>
            <w:proofErr w:type="spellStart"/>
            <w:r w:rsidRPr="00023EFE">
              <w:t>MadVision</w:t>
            </w:r>
            <w:proofErr w:type="spellEnd"/>
            <w:r w:rsidRPr="00023EFE">
              <w:t>, взаимодействие с внешними стейкхолдерами, экономику проекта и коммерциализацию решения.</w:t>
            </w:r>
          </w:p>
          <w:p w14:paraId="16EA1A22" w14:textId="77777777" w:rsidR="000A5CF0" w:rsidRPr="00023EFE" w:rsidRDefault="000A5CF0" w:rsidP="000A5CF0">
            <w:pPr>
              <w:pStyle w:val="ad"/>
            </w:pPr>
            <w:r w:rsidRPr="00843C8D">
              <w:rPr>
                <w:rStyle w:val="ae"/>
                <w:rFonts w:eastAsiaTheme="majorEastAsia"/>
              </w:rPr>
              <w:t>Участник №2</w:t>
            </w:r>
            <w:r w:rsidRPr="00843C8D">
              <w:br/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ФИО:</w:t>
            </w:r>
            <w:r w:rsidRPr="00023EFE">
              <w:t xml:space="preserve"> Алексеенко Денис Алексеевич</w:t>
            </w:r>
            <w:r w:rsidRPr="00023EFE">
              <w:br/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Роль в проекте:</w:t>
            </w:r>
            <w:r w:rsidRPr="00023EFE">
              <w:t xml:space="preserve"> сооснователь, руководитель по продукту и технологической части проекта (CPO / технический лидер).</w:t>
            </w:r>
            <w:r w:rsidRPr="00023EFE">
              <w:br/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Основные компетенции:</w:t>
            </w:r>
            <w:r w:rsidRPr="00023EFE">
              <w:t xml:space="preserve"> формирование продуктового видения и требований к системе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с учётом потребностей людей с нарушением зрения, постановка задач по разработке MVP и последующих версий продукта, базовая проработка архитектуры решения (аппаратная платформа, программная часть, использование алгоритмов компьютерного зрения и ИИ), анализ пользовательских сценариев и данных пилотных запусков. Имеет опыт учебных и проектных работ в области цифровых продуктов, работы с данными и Python, участия в технологических и предпринимательских инициативах. Отвечает за техническую реализуемость концепции, координацию работы с разработчиками и интеграцию доступных технологий в единый продукт, готовый к пилотированию и последующему масштабированию.</w:t>
            </w:r>
          </w:p>
          <w:p w14:paraId="65067024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</w:tr>
      <w:tr w:rsidR="00984E76" w:rsidRPr="00023EFE" w14:paraId="0782FCA5" w14:textId="77777777" w:rsidTr="00E11AFE">
        <w:tc>
          <w:tcPr>
            <w:tcW w:w="2169" w:type="dxa"/>
          </w:tcPr>
          <w:p w14:paraId="5D6A8D52" w14:textId="77777777" w:rsidR="00984E76" w:rsidRPr="00843C8D" w:rsidRDefault="00984E76" w:rsidP="00984E76">
            <w:pPr>
              <w:pStyle w:val="ad"/>
              <w:shd w:val="clear" w:color="auto" w:fill="FFFFFF"/>
              <w:rPr>
                <w:b/>
                <w:bCs/>
              </w:rPr>
            </w:pPr>
            <w:r w:rsidRPr="00843C8D">
              <w:rPr>
                <w:b/>
                <w:bCs/>
              </w:rPr>
              <w:t>Минимальные стартовые затраты стартап- проекта</w:t>
            </w:r>
          </w:p>
          <w:p w14:paraId="4C37D736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513D655F" w14:textId="2D2268AB" w:rsidR="00E064CC" w:rsidRDefault="000A5CF0" w:rsidP="00E064CC">
            <w:pPr>
              <w:pStyle w:val="ad"/>
            </w:pPr>
            <w:r w:rsidRPr="00023EFE">
              <w:t xml:space="preserve"> </w:t>
            </w:r>
            <w:proofErr w:type="spellStart"/>
            <w:r w:rsidR="00E064CC">
              <w:t>В</w:t>
            </w:r>
            <w:proofErr w:type="spellEnd"/>
            <w:r w:rsidR="00E064CC">
              <w:t xml:space="preserve"> проекте </w:t>
            </w:r>
            <w:proofErr w:type="spellStart"/>
            <w:r w:rsidR="00E064CC">
              <w:t>MadVision</w:t>
            </w:r>
            <w:proofErr w:type="spellEnd"/>
            <w:r w:rsidR="00E064CC">
              <w:t xml:space="preserve"> заложен бережливый, но масштабируемый финансовый сценарий на </w:t>
            </w:r>
            <w:r w:rsidR="00E064CC">
              <w:rPr>
                <w:rStyle w:val="ae"/>
                <w:rFonts w:eastAsiaTheme="majorEastAsia"/>
              </w:rPr>
              <w:t>двухлетний горизонт</w:t>
            </w:r>
            <w:r w:rsidR="00E064CC">
              <w:t xml:space="preserve">. Базовая модель предполагает продажу комплектов </w:t>
            </w:r>
            <w:proofErr w:type="spellStart"/>
            <w:r w:rsidR="00E064CC">
              <w:t>MadVision</w:t>
            </w:r>
            <w:proofErr w:type="spellEnd"/>
            <w:r w:rsidR="00E064CC">
              <w:t xml:space="preserve"> (очки + программное обеспечение + базовая настройка) по средней цене </w:t>
            </w:r>
            <w:r w:rsidR="00E064CC">
              <w:rPr>
                <w:rStyle w:val="ae"/>
                <w:rFonts w:eastAsiaTheme="majorEastAsia"/>
              </w:rPr>
              <w:t>75 000 руб.</w:t>
            </w:r>
            <w:r w:rsidR="00E064CC">
              <w:t xml:space="preserve"> за единицу при ориентировочной переменной себестоимости </w:t>
            </w:r>
            <w:r w:rsidR="00E064CC">
              <w:rPr>
                <w:rStyle w:val="ae"/>
                <w:rFonts w:eastAsiaTheme="majorEastAsia"/>
              </w:rPr>
              <w:t>25 000 руб.</w:t>
            </w:r>
            <w:r w:rsidR="00E064CC">
              <w:t xml:space="preserve"> на комплект. Таким образом, проект ориентирован на валовую маржу порядка </w:t>
            </w:r>
            <w:r w:rsidR="00E064CC">
              <w:rPr>
                <w:rStyle w:val="ae"/>
                <w:rFonts w:eastAsiaTheme="majorEastAsia"/>
              </w:rPr>
              <w:t>67 %</w:t>
            </w:r>
            <w:r w:rsidR="00E064CC">
              <w:t xml:space="preserve"> (≈50 000 руб. с устройства), что создаёт значительный запас для покрытия постоянных расходов и реинвестирования в развитие продукта.</w:t>
            </w:r>
          </w:p>
          <w:p w14:paraId="3B66DD15" w14:textId="6B5138C3" w:rsidR="00E064CC" w:rsidRDefault="00E064CC" w:rsidP="00E064CC">
            <w:pPr>
              <w:pStyle w:val="ad"/>
            </w:pPr>
            <w:proofErr w:type="gramStart"/>
            <w:r>
              <w:rPr>
                <w:rStyle w:val="ae"/>
                <w:rFonts w:eastAsiaTheme="majorEastAsia"/>
              </w:rPr>
              <w:t>1-й</w:t>
            </w:r>
            <w:proofErr w:type="gramEnd"/>
            <w:r>
              <w:rPr>
                <w:rStyle w:val="ae"/>
                <w:rFonts w:eastAsiaTheme="majorEastAsia"/>
              </w:rPr>
              <w:t xml:space="preserve"> год, 1-е полугодие</w:t>
            </w:r>
            <w:r>
              <w:br/>
              <w:t xml:space="preserve">Фокус — исследование рынка, разработка MVP и сборка первых прототипов. Выручка на этом этапе не формируется, </w:t>
            </w:r>
            <w:r>
              <w:lastRenderedPageBreak/>
              <w:t xml:space="preserve">операционные затраты ограничиваются небольшой командой и работами по прототипированию и составляют порядка </w:t>
            </w:r>
            <w:r>
              <w:rPr>
                <w:rStyle w:val="ae"/>
                <w:rFonts w:eastAsiaTheme="majorEastAsia"/>
              </w:rPr>
              <w:t>0,6 млн руб.</w:t>
            </w:r>
            <w:r>
              <w:t xml:space="preserve"> Это максимальная точка отрицательного денежного потока: на конец 1-го полугодия кумулятивный результат составляет </w:t>
            </w:r>
            <w:proofErr w:type="gramStart"/>
            <w:r>
              <w:t xml:space="preserve">около </w:t>
            </w:r>
            <w:r>
              <w:rPr>
                <w:rStyle w:val="ae"/>
                <w:rFonts w:eastAsiaTheme="majorEastAsia"/>
              </w:rPr>
              <w:t xml:space="preserve"> </w:t>
            </w:r>
            <w:r>
              <w:rPr>
                <w:rStyle w:val="ae"/>
                <w:rFonts w:eastAsiaTheme="majorEastAsia"/>
              </w:rPr>
              <w:t>600.000</w:t>
            </w:r>
            <w:proofErr w:type="gramEnd"/>
            <w:r>
              <w:rPr>
                <w:rStyle w:val="ae"/>
                <w:rFonts w:eastAsiaTheme="majorEastAsia"/>
              </w:rPr>
              <w:t xml:space="preserve"> </w:t>
            </w:r>
            <w:r>
              <w:rPr>
                <w:rStyle w:val="ae"/>
                <w:rFonts w:eastAsiaTheme="majorEastAsia"/>
              </w:rPr>
              <w:t>руб.</w:t>
            </w:r>
          </w:p>
          <w:p w14:paraId="743C33DC" w14:textId="25002A83" w:rsidR="00E064CC" w:rsidRDefault="00E064CC" w:rsidP="00E064CC">
            <w:pPr>
              <w:pStyle w:val="ad"/>
            </w:pPr>
            <w:proofErr w:type="gramStart"/>
            <w:r>
              <w:rPr>
                <w:rStyle w:val="ae"/>
                <w:rFonts w:eastAsiaTheme="majorEastAsia"/>
              </w:rPr>
              <w:t>1-й</w:t>
            </w:r>
            <w:proofErr w:type="gramEnd"/>
            <w:r>
              <w:rPr>
                <w:rStyle w:val="ae"/>
                <w:rFonts w:eastAsiaTheme="majorEastAsia"/>
              </w:rPr>
              <w:t xml:space="preserve"> год, 2-е полугодие</w:t>
            </w:r>
            <w:r>
              <w:br/>
              <w:t xml:space="preserve">Планируется выпуск пилотной партии и первые платные внедрения объёмом порядка </w:t>
            </w:r>
            <w:r>
              <w:rPr>
                <w:rStyle w:val="ae"/>
                <w:rFonts w:eastAsiaTheme="majorEastAsia"/>
              </w:rPr>
              <w:t>40 комплектов</w:t>
            </w:r>
            <w:r>
              <w:t xml:space="preserve"> через партнёров (НКО, реабилитационные центры, фонды). При цене </w:t>
            </w:r>
            <w:r>
              <w:rPr>
                <w:rStyle w:val="ae"/>
                <w:rFonts w:eastAsiaTheme="majorEastAsia"/>
              </w:rPr>
              <w:t>75 000 руб.</w:t>
            </w:r>
            <w:r>
              <w:t xml:space="preserve"> это соответствует выручке около </w:t>
            </w:r>
            <w:r>
              <w:rPr>
                <w:rStyle w:val="ae"/>
                <w:rFonts w:eastAsiaTheme="majorEastAsia"/>
              </w:rPr>
              <w:t>3,0 млн руб.</w:t>
            </w:r>
            <w:r>
              <w:t xml:space="preserve">, при переменной себестоимости </w:t>
            </w:r>
            <w:r>
              <w:rPr>
                <w:rStyle w:val="ae"/>
                <w:rFonts w:eastAsiaTheme="majorEastAsia"/>
              </w:rPr>
              <w:t>1,0 млн руб.</w:t>
            </w:r>
            <w:r>
              <w:t xml:space="preserve"> валовая прибыль составляет порядка </w:t>
            </w:r>
            <w:r>
              <w:rPr>
                <w:rStyle w:val="ae"/>
                <w:rFonts w:eastAsiaTheme="majorEastAsia"/>
              </w:rPr>
              <w:t>2,0 млн руб.</w:t>
            </w:r>
            <w:r>
              <w:t xml:space="preserve"> Операционные расходы, связанные с доработкой продукта, организацией пилотов и базовым PR, оцениваются примерно в </w:t>
            </w:r>
            <w:r>
              <w:rPr>
                <w:rStyle w:val="ae"/>
                <w:rFonts w:eastAsiaTheme="majorEastAsia"/>
              </w:rPr>
              <w:t>0,9 млн руб.</w:t>
            </w:r>
            <w:r>
              <w:t xml:space="preserve"> По итогам 2-го полугодия формируется положительный денежный поток (около </w:t>
            </w:r>
            <w:r>
              <w:rPr>
                <w:rStyle w:val="ae"/>
                <w:rFonts w:eastAsiaTheme="majorEastAsia"/>
              </w:rPr>
              <w:t>+1,1 млн руб.</w:t>
            </w:r>
            <w:r>
              <w:t xml:space="preserve">), а совокупный результат </w:t>
            </w:r>
            <w:proofErr w:type="gramStart"/>
            <w:r>
              <w:t>1-го</w:t>
            </w:r>
            <w:proofErr w:type="gramEnd"/>
            <w:r>
              <w:t xml:space="preserve"> года выходит в плюс на уровне </w:t>
            </w:r>
            <w:r>
              <w:rPr>
                <w:rStyle w:val="ae"/>
                <w:rFonts w:eastAsiaTheme="majorEastAsia"/>
              </w:rPr>
              <w:t>≈+</w:t>
            </w:r>
            <w:r>
              <w:rPr>
                <w:rStyle w:val="ae"/>
                <w:rFonts w:eastAsiaTheme="majorEastAsia"/>
              </w:rPr>
              <w:t>500.000</w:t>
            </w:r>
            <w:r>
              <w:rPr>
                <w:rStyle w:val="ae"/>
                <w:rFonts w:eastAsiaTheme="majorEastAsia"/>
              </w:rPr>
              <w:t xml:space="preserve"> </w:t>
            </w:r>
            <w:proofErr w:type="spellStart"/>
            <w:proofErr w:type="gramStart"/>
            <w:r>
              <w:rPr>
                <w:rStyle w:val="ae"/>
                <w:rFonts w:eastAsiaTheme="majorEastAsia"/>
              </w:rPr>
              <w:t>руб</w:t>
            </w:r>
            <w:proofErr w:type="spellEnd"/>
            <w:r>
              <w:rPr>
                <w:rStyle w:val="ae"/>
                <w:rFonts w:eastAsiaTheme="majorEastAsia"/>
              </w:rPr>
              <w:t xml:space="preserve"> </w:t>
            </w:r>
            <w:r>
              <w:t xml:space="preserve"> При</w:t>
            </w:r>
            <w:proofErr w:type="gramEnd"/>
            <w:r>
              <w:t xml:space="preserve"> этом к концу года у проекта уже есть готовый продукт, реальные платные внедрения и подтверждённый спрос со стороны партнёров.</w:t>
            </w:r>
          </w:p>
          <w:p w14:paraId="449E78D5" w14:textId="77777777" w:rsidR="00E064CC" w:rsidRDefault="00E064CC" w:rsidP="00E064CC">
            <w:pPr>
              <w:pStyle w:val="ad"/>
            </w:pPr>
            <w:proofErr w:type="gramStart"/>
            <w:r>
              <w:rPr>
                <w:rStyle w:val="ae"/>
                <w:rFonts w:eastAsiaTheme="majorEastAsia"/>
              </w:rPr>
              <w:t>2-й</w:t>
            </w:r>
            <w:proofErr w:type="gramEnd"/>
            <w:r>
              <w:rPr>
                <w:rStyle w:val="ae"/>
                <w:rFonts w:eastAsiaTheme="majorEastAsia"/>
              </w:rPr>
              <w:t xml:space="preserve"> год (12–24 месяца).</w:t>
            </w:r>
            <w:r>
              <w:br/>
              <w:t xml:space="preserve">Во </w:t>
            </w:r>
            <w:proofErr w:type="gramStart"/>
            <w:r>
              <w:t>2-й</w:t>
            </w:r>
            <w:proofErr w:type="gramEnd"/>
            <w:r>
              <w:t xml:space="preserve"> год заложен переход к масштабированию через партнёрские каналы (НКО, общества инвалидов по зрению, реабилитационные центры, профильные фонды, региональные программы). План продаж — </w:t>
            </w:r>
            <w:r>
              <w:rPr>
                <w:rStyle w:val="ae"/>
                <w:rFonts w:eastAsiaTheme="majorEastAsia"/>
              </w:rPr>
              <w:t>около 400 комплектов за год</w:t>
            </w:r>
            <w:r>
              <w:t xml:space="preserve"> (ориентировочно 150 в 1-е полугодие и 250 во 2-е). При цене </w:t>
            </w:r>
            <w:r>
              <w:rPr>
                <w:rStyle w:val="ae"/>
                <w:rFonts w:eastAsiaTheme="majorEastAsia"/>
              </w:rPr>
              <w:t>75 000 руб.</w:t>
            </w:r>
            <w:r>
              <w:t xml:space="preserve"> годовая выручка достигает </w:t>
            </w:r>
            <w:r>
              <w:rPr>
                <w:rStyle w:val="ae"/>
                <w:rFonts w:eastAsiaTheme="majorEastAsia"/>
              </w:rPr>
              <w:t>≈30 млн руб.</w:t>
            </w:r>
            <w:r>
              <w:t xml:space="preserve">, а валовая прибыль при себестоимости 25 000 руб. — порядка </w:t>
            </w:r>
            <w:r>
              <w:rPr>
                <w:rStyle w:val="ae"/>
                <w:rFonts w:eastAsiaTheme="majorEastAsia"/>
              </w:rPr>
              <w:t>20 млн руб.</w:t>
            </w:r>
            <w:r>
              <w:t xml:space="preserve"> Постоянные расходы на расширение команды, поддержку пользователей, развитие партнёрской сети и PR оцениваются в </w:t>
            </w:r>
            <w:r>
              <w:rPr>
                <w:rStyle w:val="ae"/>
                <w:rFonts w:eastAsiaTheme="majorEastAsia"/>
              </w:rPr>
              <w:t>1,3 млн руб.</w:t>
            </w:r>
            <w:r>
              <w:t xml:space="preserve"> в первое и </w:t>
            </w:r>
            <w:r>
              <w:rPr>
                <w:rStyle w:val="ae"/>
                <w:rFonts w:eastAsiaTheme="majorEastAsia"/>
              </w:rPr>
              <w:t>1,5 млн руб.</w:t>
            </w:r>
            <w:r>
              <w:t xml:space="preserve"> во второе полугодие (всего около </w:t>
            </w:r>
            <w:r>
              <w:rPr>
                <w:rStyle w:val="ae"/>
                <w:rFonts w:eastAsiaTheme="majorEastAsia"/>
              </w:rPr>
              <w:t>2,8 млн руб.</w:t>
            </w:r>
            <w:r>
              <w:t xml:space="preserve"> за год). При таких параметрах операционный результат </w:t>
            </w:r>
            <w:proofErr w:type="gramStart"/>
            <w:r>
              <w:t>2-го</w:t>
            </w:r>
            <w:proofErr w:type="gramEnd"/>
            <w:r>
              <w:t xml:space="preserve"> года составляет порядка </w:t>
            </w:r>
            <w:r>
              <w:rPr>
                <w:rStyle w:val="ae"/>
                <w:rFonts w:eastAsiaTheme="majorEastAsia"/>
              </w:rPr>
              <w:t>+17 млн руб.</w:t>
            </w:r>
            <w:r>
              <w:t>, что означает уверенный выход в зону устойчивого роста и формирование значительного положительного денежного потока.</w:t>
            </w:r>
          </w:p>
          <w:p w14:paraId="0E8E4B3D" w14:textId="783B8141" w:rsidR="00E064CC" w:rsidRDefault="00E064CC" w:rsidP="00E064CC">
            <w:pPr>
              <w:pStyle w:val="ad"/>
            </w:pPr>
            <w:r>
              <w:rPr>
                <w:rStyle w:val="ae"/>
                <w:rFonts w:eastAsiaTheme="majorEastAsia"/>
              </w:rPr>
              <w:t>Структура инвестиций и CAPEX.</w:t>
            </w:r>
            <w:r>
              <w:br/>
              <w:t xml:space="preserve">Минимальная потребность во внешнем финансировании на стадии запуска оценивается в </w:t>
            </w:r>
            <w:r w:rsidR="00211081">
              <w:t>1</w:t>
            </w:r>
            <w:r>
              <w:rPr>
                <w:rStyle w:val="ae"/>
                <w:rFonts w:eastAsiaTheme="majorEastAsia"/>
              </w:rPr>
              <w:t xml:space="preserve"> млн руб.</w:t>
            </w:r>
            <w:r>
              <w:t>:</w:t>
            </w:r>
          </w:p>
          <w:p w14:paraId="03E91E0F" w14:textId="6CCCCAB6" w:rsidR="00E064CC" w:rsidRDefault="00E064CC" w:rsidP="00E064CC">
            <w:pPr>
              <w:pStyle w:val="ad"/>
              <w:numPr>
                <w:ilvl w:val="0"/>
                <w:numId w:val="24"/>
              </w:numPr>
            </w:pPr>
            <w:r>
              <w:rPr>
                <w:rStyle w:val="ae"/>
                <w:rFonts w:eastAsiaTheme="majorEastAsia"/>
              </w:rPr>
              <w:t>CAPEX (</w:t>
            </w:r>
            <w:r w:rsidR="00211081">
              <w:rPr>
                <w:rStyle w:val="ae"/>
                <w:rFonts w:eastAsiaTheme="majorEastAsia"/>
              </w:rPr>
              <w:t>650.000</w:t>
            </w:r>
            <w:r>
              <w:rPr>
                <w:rStyle w:val="ae"/>
                <w:rFonts w:eastAsiaTheme="majorEastAsia"/>
              </w:rPr>
              <w:t xml:space="preserve"> руб.)</w:t>
            </w:r>
            <w:r>
              <w:t xml:space="preserve"> — разработка и отладка аппаратной платформы очков, создание и тестирование MVP, разработка базовой версии ПО и ИИ-моделей, подготовка первой пилотной партии устройств.</w:t>
            </w:r>
          </w:p>
          <w:p w14:paraId="2132D016" w14:textId="4F01BE2A" w:rsidR="00E064CC" w:rsidRDefault="00E064CC" w:rsidP="00E064CC">
            <w:pPr>
              <w:pStyle w:val="ad"/>
              <w:numPr>
                <w:ilvl w:val="0"/>
                <w:numId w:val="24"/>
              </w:numPr>
            </w:pPr>
            <w:r>
              <w:rPr>
                <w:rStyle w:val="ae"/>
                <w:rFonts w:eastAsiaTheme="majorEastAsia"/>
              </w:rPr>
              <w:t>Оборотный капитал и запуск продаж (~3 млн руб.)</w:t>
            </w:r>
            <w:r>
              <w:t xml:space="preserve"> — покрытие кассового разрыва 1-го полугодия, частичное финансирование пилотных внедрений, минимальный PR и участие в профильных мероприятиях.</w:t>
            </w:r>
          </w:p>
          <w:p w14:paraId="35659D08" w14:textId="77777777" w:rsidR="00E064CC" w:rsidRDefault="00E064CC" w:rsidP="00E064CC">
            <w:pPr>
              <w:pStyle w:val="ad"/>
            </w:pPr>
            <w:r>
              <w:t xml:space="preserve">Финансирование предполагается привлекать в комбинированном формате: собственный вклад команды, гранты и программы </w:t>
            </w:r>
            <w:r>
              <w:lastRenderedPageBreak/>
              <w:t xml:space="preserve">поддержки технологических и социальных проектов, при необходимости — небольшой посевной раунд/поддержка бизнес-ангела. С учётом того, что уже во 2-м полугодии </w:t>
            </w:r>
            <w:proofErr w:type="gramStart"/>
            <w:r>
              <w:t>1-го</w:t>
            </w:r>
            <w:proofErr w:type="gramEnd"/>
            <w:r>
              <w:t xml:space="preserve"> года проект выходит на положительный денежный поток, а по итогам </w:t>
            </w:r>
            <w:proofErr w:type="gramStart"/>
            <w:r>
              <w:t>2-го</w:t>
            </w:r>
            <w:proofErr w:type="gramEnd"/>
            <w:r>
              <w:t xml:space="preserve"> года генерирует двузначную в миллионах прибыль, </w:t>
            </w:r>
            <w:proofErr w:type="spellStart"/>
            <w:r>
              <w:t>MadVision</w:t>
            </w:r>
            <w:proofErr w:type="spellEnd"/>
            <w:r>
              <w:t xml:space="preserve"> является привлекательным для инвестора с точки зрения </w:t>
            </w:r>
            <w:r>
              <w:rPr>
                <w:rStyle w:val="ae"/>
                <w:rFonts w:eastAsiaTheme="majorEastAsia"/>
              </w:rPr>
              <w:t>низкой капиталоёмкости, короткого срока окупаемости (≈1,5–2 года) и высокой маржинальности бизнеса</w:t>
            </w:r>
            <w:r>
              <w:t>.</w:t>
            </w:r>
          </w:p>
          <w:p w14:paraId="154808B6" w14:textId="164608DC" w:rsidR="00984E76" w:rsidRPr="00023EFE" w:rsidRDefault="00984E76" w:rsidP="00E064CC">
            <w:pPr>
              <w:pStyle w:val="ad"/>
            </w:pPr>
          </w:p>
        </w:tc>
      </w:tr>
      <w:tr w:rsidR="00984E76" w:rsidRPr="00023EFE" w14:paraId="72DF7CC4" w14:textId="77777777" w:rsidTr="00E11AFE">
        <w:tc>
          <w:tcPr>
            <w:tcW w:w="2169" w:type="dxa"/>
          </w:tcPr>
          <w:p w14:paraId="4124F212" w14:textId="77777777" w:rsidR="00984E76" w:rsidRPr="00843C8D" w:rsidRDefault="00984E76" w:rsidP="00984E76">
            <w:pPr>
              <w:pStyle w:val="ad"/>
              <w:shd w:val="clear" w:color="auto" w:fill="FFFFFF"/>
              <w:rPr>
                <w:b/>
                <w:bCs/>
              </w:rPr>
            </w:pPr>
            <w:r w:rsidRPr="00843C8D">
              <w:rPr>
                <w:b/>
                <w:bCs/>
              </w:rPr>
              <w:lastRenderedPageBreak/>
              <w:t xml:space="preserve">Перспективы коммерциализации стартапа </w:t>
            </w:r>
          </w:p>
          <w:p w14:paraId="47230734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6B0A594B" w14:textId="4DEDF47E" w:rsidR="00E11AFE" w:rsidRPr="00023EFE" w:rsidRDefault="00E11AFE" w:rsidP="00E4778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23EFE">
              <w:rPr>
                <w:rFonts w:ascii="Times New Roman" w:hAnsi="Times New Roman" w:cs="Times New Roman"/>
              </w:rPr>
              <w:t>Анализ Рынка</w:t>
            </w:r>
          </w:p>
          <w:p w14:paraId="0480969E" w14:textId="77777777" w:rsidR="00C33D25" w:rsidRPr="00023EFE" w:rsidRDefault="00C33D25" w:rsidP="00C33D25">
            <w:pPr>
              <w:rPr>
                <w:rFonts w:ascii="Times New Roman" w:hAnsi="Times New Roman" w:cs="Times New Roman"/>
              </w:rPr>
            </w:pPr>
          </w:p>
          <w:p w14:paraId="2195B9F4" w14:textId="4DB5A009" w:rsidR="00C33D25" w:rsidRPr="00023EFE" w:rsidRDefault="00C33D25" w:rsidP="00C33D25">
            <w:pPr>
              <w:rPr>
                <w:rFonts w:ascii="Times New Roman" w:hAnsi="Times New Roman" w:cs="Times New Roman"/>
              </w:rPr>
            </w:pPr>
            <w:r w:rsidRPr="00023EFE">
              <w:rPr>
                <w:rStyle w:val="ae"/>
                <w:rFonts w:ascii="Times New Roman" w:hAnsi="Times New Roman" w:cs="Times New Roman"/>
                <w:b w:val="0"/>
                <w:bCs w:val="0"/>
              </w:rPr>
              <w:t>PAM ≈17 млн человек – Все люди в России с различными нарушениями зрения (от лёгких до тяжёлых), для которых в принципе актуальны ассистивные решения.</w:t>
            </w:r>
          </w:p>
          <w:p w14:paraId="3DC487F5" w14:textId="4B7D7AFA" w:rsidR="00C33D25" w:rsidRPr="00023EFE" w:rsidRDefault="00C33D25" w:rsidP="00C33D25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TAM– ≈5,9–6,2 млн человек – Слепые и слабовидящие в РФ с устойчивым выраженным снижением зрения, серьёзно влияющим на повседневную жизнь.</w:t>
            </w:r>
          </w:p>
          <w:p w14:paraId="400DE9B1" w14:textId="59E67ABF" w:rsidR="00C33D25" w:rsidRPr="00023EFE" w:rsidRDefault="00C33D25" w:rsidP="00C33D25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SAM– ≈1,2–1,8 млн человек – Часть TAM, соответствующая нашей ЦА: люди с остаточным зрением, преимущественно в городах, способные и готовые пользоваться цифровым устройством для ориентации и доступа к информации.</w:t>
            </w:r>
          </w:p>
          <w:p w14:paraId="146F0AB8" w14:textId="14D4ACFB" w:rsidR="00C33D25" w:rsidRPr="00023EFE" w:rsidRDefault="00C33D25" w:rsidP="00C33D25">
            <w:pPr>
              <w:pStyle w:val="ad"/>
              <w:rPr>
                <w:rStyle w:val="ae"/>
                <w:rFonts w:eastAsiaTheme="majorEastAsia"/>
                <w:b w:val="0"/>
                <w:bCs w:val="0"/>
              </w:rPr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SOM</w:t>
            </w:r>
            <w:proofErr w:type="gramStart"/>
            <w:r w:rsidR="007F6EEF">
              <w:rPr>
                <w:rStyle w:val="ae"/>
                <w:rFonts w:eastAsiaTheme="majorEastAsia"/>
                <w:b w:val="0"/>
                <w:bCs w:val="0"/>
              </w:rPr>
              <w:t xml:space="preserve">-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 (</w:t>
            </w:r>
            <w:proofErr w:type="gramEnd"/>
            <w:r w:rsidRPr="00023EFE">
              <w:rPr>
                <w:rStyle w:val="ae"/>
                <w:rFonts w:eastAsiaTheme="majorEastAsia"/>
                <w:b w:val="0"/>
                <w:bCs w:val="0"/>
              </w:rPr>
              <w:t>РФ, целевой горизонт 5–7 лет) – ≈24–72 тыс. пользователей – Реалистично достижимая часть SAM при доле 2–4% рынка с учётом конкуренции, роли государства и ограниченных ресурсов стартапа.</w:t>
            </w:r>
          </w:p>
          <w:p w14:paraId="4F33C3E9" w14:textId="77777777" w:rsidR="00C33D25" w:rsidRPr="00023EFE" w:rsidRDefault="00C33D25" w:rsidP="00C33D25">
            <w:pPr>
              <w:pStyle w:val="ad"/>
              <w:rPr>
                <w:rFonts w:eastAsiaTheme="majorEastAsia"/>
              </w:rPr>
            </w:pPr>
          </w:p>
          <w:p w14:paraId="785D3C7F" w14:textId="61539AC8" w:rsidR="00C33D25" w:rsidRPr="00023EFE" w:rsidRDefault="004447A7" w:rsidP="004447A7">
            <w:pPr>
              <w:pStyle w:val="ad"/>
              <w:numPr>
                <w:ilvl w:val="0"/>
                <w:numId w:val="1"/>
              </w:numPr>
            </w:pPr>
            <w:r w:rsidRPr="00023EFE">
              <w:t xml:space="preserve">Тенденции и драйверы рынка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в России</w:t>
            </w:r>
          </w:p>
          <w:p w14:paraId="74903223" w14:textId="77777777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1. Рост числа людей с нарушением зрения и старение населения</w:t>
            </w:r>
            <w:r w:rsidRPr="00023EFE">
              <w:br/>
              <w:t xml:space="preserve">В России устойчиво растёт доля граждан старших возрастных групп, где выше распространённость глаукомы, возрастной макулодистрофии, диабетической ретинопатии и тяжёлой миопии. По оценкам отечественных источников, число слепых и слабовидящих в РФ достигает порядка 5,9–6,2 млн человек и имеет тенденцию к увеличению за счёт старения населения и роста хронических заболеваний. Это формирует долгосрочный рост потребности в </w:t>
            </w:r>
            <w:proofErr w:type="spellStart"/>
            <w:r w:rsidRPr="00023EFE">
              <w:t>тифлотехнике</w:t>
            </w:r>
            <w:proofErr w:type="spellEnd"/>
            <w:r w:rsidRPr="00023EFE">
              <w:t xml:space="preserve"> и цифровых ассистивных решениях именно для людей с устойчивым снижением зрения.</w:t>
            </w:r>
          </w:p>
          <w:p w14:paraId="5AE06A90" w14:textId="77777777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2. Развитие реабилитационной индустрии и курс на импортозамещение</w:t>
            </w:r>
            <w:r w:rsidRPr="00023EFE">
              <w:br/>
              <w:t xml:space="preserve">Государство системно наращивает поддержку рынка технических средств реабилитации (ТСР). Объём производства реабилитационной продукции в РФ уже превышает десятки миллиардов рублей в год и должен существенно вырасти к 2030 году; в отрасли действует сотни производителей. При этом в </w:t>
            </w:r>
            <w:r w:rsidRPr="00023EFE">
              <w:lastRenderedPageBreak/>
              <w:t xml:space="preserve">официальных документах акцент делается на импортозамещении и поддержке российских разработчиков, в том числе в сфере средств для инвалидов по зрению. Для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это создаёт окно возможностей: спрос на отечественные решения будет стимулироваться как </w:t>
            </w:r>
            <w:proofErr w:type="spellStart"/>
            <w:r w:rsidRPr="00023EFE">
              <w:t>регуляторно</w:t>
            </w:r>
            <w:proofErr w:type="spellEnd"/>
            <w:r w:rsidRPr="00023EFE">
              <w:t>, так и финансово.</w:t>
            </w:r>
          </w:p>
          <w:p w14:paraId="6E650E45" w14:textId="05DF0703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3. Переход к более гибким моделям обеспечения: электронные сертификаты и персонализация ТСР</w:t>
            </w:r>
            <w:r w:rsidRPr="00023EFE">
              <w:br/>
              <w:t xml:space="preserve">Социальный фонд РФ переводит обеспечение ТСР на механизм электронных сертификатов: человек получает сертификат и самостоятельно выбирает конкретное устройство из перечня рекомендованных. Это повышает конкуренцию по качеству и открывает путь для новых продуктов, которые реально востребованы пользователями. Для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это драйвер: при включении очков в перечень ТСР появляется масштабируемый канал сбыта за счёт бюджетного финансирования.</w:t>
            </w:r>
          </w:p>
          <w:p w14:paraId="35E165DA" w14:textId="77777777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4. Смещение спроса от механической </w:t>
            </w: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тифлотехники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 к интеллектуальным решениям</w:t>
            </w:r>
            <w:r w:rsidRPr="00023EFE">
              <w:br/>
              <w:t xml:space="preserve">На российском рынке уже сформированы поставщики классической </w:t>
            </w:r>
            <w:proofErr w:type="spellStart"/>
            <w:r w:rsidRPr="00023EFE">
              <w:t>тифлотехники</w:t>
            </w:r>
            <w:proofErr w:type="spellEnd"/>
            <w:r w:rsidRPr="00023EFE">
              <w:t xml:space="preserve"> (трости, лупы, </w:t>
            </w:r>
            <w:proofErr w:type="spellStart"/>
            <w:r w:rsidRPr="00023EFE">
              <w:t>тифлофлешплееры</w:t>
            </w:r>
            <w:proofErr w:type="spellEnd"/>
            <w:r w:rsidRPr="00023EFE">
              <w:t xml:space="preserve">, брайлевские дисплеи и пр.), однако значительная часть этих решений слабо покрывает задачи мобильности и навигации в динамичной городской среде. Параллельно растёт интерес к продуктам на базе компьютерного зрения и искусственного интеллекта, которые умеют распознавать объекты, текст и окружающую обстановку в реальном времени. Это глобальный тренд, который постепенно проявляется и в России, усиливая спрос на решения класса «умные очки» как логичное развитие традиционной </w:t>
            </w:r>
            <w:proofErr w:type="spellStart"/>
            <w:r w:rsidRPr="00023EFE">
              <w:t>тифлотехники</w:t>
            </w:r>
            <w:proofErr w:type="spellEnd"/>
            <w:r w:rsidRPr="00023EFE">
              <w:t>.</w:t>
            </w:r>
          </w:p>
          <w:p w14:paraId="230D2E8B" w14:textId="3E655622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5. </w:t>
            </w: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Недоосвоенность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 рынка </w:t>
            </w: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AssistiveTech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 и высокий спрос</w:t>
            </w:r>
            <w:r w:rsidRPr="00023EFE">
              <w:br/>
              <w:t xml:space="preserve">По оценкам профсообщества, российский рынок </w:t>
            </w:r>
            <w:proofErr w:type="spellStart"/>
            <w:r w:rsidRPr="00023EFE">
              <w:t>AssistiveTech</w:t>
            </w:r>
            <w:proofErr w:type="spellEnd"/>
            <w:r w:rsidRPr="00023EFE">
              <w:t xml:space="preserve"> освоен лишь частично: доступные решения покрывают около 20% потенциальной потребности по широкому кругу ограничений здоровья. Это означает, что значительная часть людей с нарушением зрения либо не имеет доступа к современным средствам реабилитации, либо получает оборудование, не отвечающее реальным потребностям. Для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это важный драйвер: на рынке присутствует не только «замещение» существующей техники, но и большой отложенный спрос на решения, которые действительно повышают самостоятельность и качество жизни пользователей.</w:t>
            </w:r>
          </w:p>
          <w:p w14:paraId="4BBF55E0" w14:textId="77777777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6. Усиление регуляторного внимания к качеству ТСР и вовлечение самих пользователей</w:t>
            </w:r>
            <w:r w:rsidRPr="00023EFE">
              <w:br/>
              <w:t xml:space="preserve">Вокруг средств реабилитации для инвалидов по зрению формируются экспертные и общественные площадки (ВОС, профильные НКО и рабочие группы при ведомствах), которые обсуждают качество выдаваемых средств, их практическую полезность, а также необходимость привлечения самих пользователей к тестированию и оценке новых решений. Это </w:t>
            </w:r>
            <w:r w:rsidRPr="00023EFE">
              <w:lastRenderedPageBreak/>
              <w:t xml:space="preserve">создаёт дополнительный барьер входа для слабых продуктов, но для качественного и клиентоориентированного решения, такого как </w:t>
            </w:r>
            <w:proofErr w:type="spellStart"/>
            <w:r w:rsidRPr="00023EFE">
              <w:t>MadVision</w:t>
            </w:r>
            <w:proofErr w:type="spellEnd"/>
            <w:r w:rsidRPr="00023EFE">
              <w:t>, является фактором легитимации и ускорения принятия на рынок.</w:t>
            </w:r>
          </w:p>
          <w:p w14:paraId="2D2DF4EC" w14:textId="0A2227BD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7. Технологический прогресс в области AI и носимой электроники</w:t>
            </w:r>
            <w:r w:rsidRPr="00023EFE">
              <w:br/>
              <w:t xml:space="preserve">Даже ориентируясь на российский рынок, нельзя игнорировать глобальный технологический тренд: удешевление камер, сенсоров и вычислительных модулей, рост качества алгоритмов компьютерного зрения и распространение носимой электроники. На практике это означает, что становится технически и экономически возможно создавать устройства уровня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по цене, сопоставимой с расширенным набором традиционных ТСР, что критично для массового внедрения в России.</w:t>
            </w:r>
          </w:p>
          <w:p w14:paraId="00F5E0CB" w14:textId="42AED8C8" w:rsidR="00E11AFE" w:rsidRPr="00023EFE" w:rsidRDefault="00E11AFE" w:rsidP="00E11AFE">
            <w:pPr>
              <w:pStyle w:val="ad"/>
              <w:numPr>
                <w:ilvl w:val="0"/>
                <w:numId w:val="1"/>
              </w:numPr>
              <w:rPr>
                <w:rStyle w:val="ae"/>
                <w:rFonts w:eastAsiaTheme="majorEastAsia"/>
                <w:b w:val="0"/>
                <w:bCs w:val="0"/>
              </w:rPr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Целевая Аудитория </w:t>
            </w:r>
          </w:p>
          <w:p w14:paraId="36A859A3" w14:textId="25D39D38" w:rsidR="00E11AFE" w:rsidRPr="00023EFE" w:rsidRDefault="00E11AFE" w:rsidP="00E11AFE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Who?</w:t>
            </w:r>
            <w:r w:rsidRPr="00023EFE">
              <w:br/>
            </w:r>
            <w:proofErr w:type="gramStart"/>
            <w:r w:rsidRPr="00023EFE">
              <w:t>Люди  с</w:t>
            </w:r>
            <w:proofErr w:type="gramEnd"/>
            <w:r w:rsidRPr="00023EFE">
              <w:t xml:space="preserve"> выраженным снижением зрения при сохранённом остаточном зрении. Основной возрастной диапазон — 45–75 лет (возрастные дегенеративные изменения, хронические заболевания), дополнительный сегмент — 18–45 лет (наследственные заболевания, последствия травм, тяжёлая миопия, диабетическая ретинопатия). Проживают преимущественно в крупных и средних городах РФ, пользуются смартфоном либо готовы осваивать базовые цифровые навыки.</w:t>
            </w:r>
          </w:p>
          <w:p w14:paraId="677A9C95" w14:textId="26469EF9" w:rsidR="00E11AFE" w:rsidRPr="00023EFE" w:rsidRDefault="00E11AFE" w:rsidP="00E11AFE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What?</w:t>
            </w:r>
            <w:r w:rsidRPr="00023EFE">
              <w:br/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— умные очки, предназначенные для поддержки пространственной ориентации и доступа к визуальной информации. Функционал включает: голосовое предупреждение о препятствиях, подсказки по направлению движения (например, расстояние до остановки или объекта назначения), озвучивание табличек, указателей, ценников, упаковок лекарственных средств и иных ключевых элементов окружающей среды.</w:t>
            </w:r>
            <w:r w:rsidR="0024230C" w:rsidRPr="00023EFE">
              <w:t xml:space="preserve"> </w:t>
            </w:r>
            <w:r w:rsidR="00C33D25" w:rsidRPr="00023EFE">
              <w:t>П</w:t>
            </w:r>
            <w:r w:rsidRPr="00023EFE">
              <w:t>родукт выступает в роли постоянного навигационного и бытового ассистента.</w:t>
            </w:r>
          </w:p>
          <w:p w14:paraId="65D5F34B" w14:textId="77777777" w:rsidR="00E11AFE" w:rsidRPr="00023EFE" w:rsidRDefault="00E11AFE" w:rsidP="00E11AFE">
            <w:pPr>
              <w:pStyle w:val="ad"/>
            </w:pP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Why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>?</w:t>
            </w:r>
            <w:r w:rsidRPr="00023EFE">
              <w:br/>
              <w:t xml:space="preserve">Указанная категория пользователей сталкивается с постоянными ограничениями в самостоятельном передвижении и доступе к визуальной информации, что повышает риск травм, дезориентации и усиливает зависимость от родственников и сопровождающих.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позволяет повысить уровень личной безопасности, сохранить или частично восстановить бытовую и социальную самостоятельность, снизить нагрузку на ближайшее окружение и улучшить субъективное качество жизни.</w:t>
            </w:r>
          </w:p>
          <w:p w14:paraId="6195DAED" w14:textId="77777777" w:rsidR="00C33D25" w:rsidRPr="00023EFE" w:rsidRDefault="00E11AFE" w:rsidP="00E11AFE">
            <w:pPr>
              <w:pStyle w:val="ad"/>
            </w:pP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When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>?</w:t>
            </w:r>
            <w:r w:rsidRPr="00023EFE">
              <w:br/>
              <w:t>Использование предполагается на регулярной основе. Вне дома — при передвижении по</w:t>
            </w:r>
            <w:r w:rsidR="00C33D25" w:rsidRPr="00023EFE">
              <w:t xml:space="preserve"> выстроенным</w:t>
            </w:r>
            <w:r w:rsidRPr="00023EFE">
              <w:t xml:space="preserve"> маршрутам, при </w:t>
            </w:r>
            <w:r w:rsidRPr="00023EFE">
              <w:lastRenderedPageBreak/>
              <w:t xml:space="preserve">пользовании общественным транспортом, посещении объектов социальной и городской инфраструктуры. В домашних условиях — при необходимости прочитать упаковки лекарств, счета, письма, инструкции и другие тексты. </w:t>
            </w:r>
          </w:p>
          <w:p w14:paraId="5BE3650D" w14:textId="0881408B" w:rsidR="00E11AFE" w:rsidRPr="00023EFE" w:rsidRDefault="00E11AFE" w:rsidP="00E11AFE">
            <w:pPr>
              <w:pStyle w:val="ad"/>
            </w:pPr>
            <w:r w:rsidRPr="00023EFE">
              <w:t>Ключевые триггеры к приобретению: прогрессирование снижения зрения, негативный опыт (падение, потеря ориентира, затруднения при самостоятельном выходе из дома), а также рекомендации офтальмологов, реабилитационных центров и профильных НКО.</w:t>
            </w:r>
          </w:p>
          <w:p w14:paraId="3DA897A3" w14:textId="77777777" w:rsidR="00E11AFE" w:rsidRPr="00023EFE" w:rsidRDefault="00E11AFE" w:rsidP="00E11AFE">
            <w:pPr>
              <w:pStyle w:val="ad"/>
            </w:pP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Where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>?</w:t>
            </w:r>
            <w:r w:rsidRPr="00023EFE">
              <w:br/>
              <w:t xml:space="preserve">Основные каналы выхода на целевую аудиторию: офтальмологические и реабилитационные центры, организации инвалидов по зрению (в </w:t>
            </w:r>
            <w:proofErr w:type="gramStart"/>
            <w:r w:rsidRPr="00023EFE">
              <w:t>т.ч.</w:t>
            </w:r>
            <w:proofErr w:type="gramEnd"/>
            <w:r w:rsidRPr="00023EFE">
              <w:t xml:space="preserve"> ВОС), профильные НКО и благотворительные фонды, система обеспечения техническими средствами реабилитации (включая электронные сертификаты Социального фонда РФ), а также онлайн-каналы. Существенную роль в принятии решения о приобретении продукта играют родственники и законные представители пользователей.</w:t>
            </w:r>
          </w:p>
          <w:p w14:paraId="25D837C0" w14:textId="3C8CE8D4" w:rsidR="00E11AFE" w:rsidRPr="00023EFE" w:rsidRDefault="00E11AFE" w:rsidP="00E11AFE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84E76" w:rsidRPr="00023EFE" w14:paraId="232187DA" w14:textId="77777777" w:rsidTr="00E11AFE">
        <w:tc>
          <w:tcPr>
            <w:tcW w:w="2169" w:type="dxa"/>
          </w:tcPr>
          <w:p w14:paraId="247FE94C" w14:textId="77777777" w:rsidR="004447A7" w:rsidRPr="00843C8D" w:rsidRDefault="004447A7" w:rsidP="004447A7">
            <w:pPr>
              <w:pStyle w:val="ad"/>
              <w:shd w:val="clear" w:color="auto" w:fill="FFFFFF"/>
              <w:rPr>
                <w:b/>
                <w:bCs/>
              </w:rPr>
            </w:pPr>
            <w:r w:rsidRPr="00843C8D">
              <w:rPr>
                <w:b/>
                <w:bCs/>
              </w:rPr>
              <w:lastRenderedPageBreak/>
              <w:t xml:space="preserve">Технологичность и </w:t>
            </w:r>
            <w:proofErr w:type="spellStart"/>
            <w:r w:rsidRPr="00843C8D">
              <w:rPr>
                <w:b/>
                <w:bCs/>
              </w:rPr>
              <w:t>наукоемкость</w:t>
            </w:r>
            <w:proofErr w:type="spellEnd"/>
            <w:r w:rsidRPr="00843C8D">
              <w:rPr>
                <w:b/>
                <w:bCs/>
              </w:rPr>
              <w:t xml:space="preserve"> стартап- проекта</w:t>
            </w:r>
          </w:p>
          <w:p w14:paraId="02C25801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6E35E577" w14:textId="77777777" w:rsidR="004447A7" w:rsidRPr="00023EFE" w:rsidRDefault="004447A7" w:rsidP="004447A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023EFE">
              <w:rPr>
                <w:rFonts w:ascii="Times New Roman" w:hAnsi="Times New Roman" w:cs="Times New Roman"/>
              </w:rPr>
              <w:t xml:space="preserve">Проект </w:t>
            </w:r>
            <w:proofErr w:type="spellStart"/>
            <w:r w:rsidRPr="00023EFE">
              <w:rPr>
                <w:rFonts w:ascii="Times New Roman" w:hAnsi="Times New Roman" w:cs="Times New Roman"/>
              </w:rPr>
              <w:t>MadVision</w:t>
            </w:r>
            <w:proofErr w:type="spellEnd"/>
            <w:r w:rsidRPr="00023EFE">
              <w:rPr>
                <w:rFonts w:ascii="Times New Roman" w:hAnsi="Times New Roman" w:cs="Times New Roman"/>
              </w:rPr>
              <w:t xml:space="preserve"> по своему содержанию относится к приоритетным направлениям научно-технологического развития РФ и использует ряд критических и сквозных технологий.</w:t>
            </w:r>
          </w:p>
          <w:p w14:paraId="148821D1" w14:textId="77777777" w:rsidR="004447A7" w:rsidRPr="00023EFE" w:rsidRDefault="004447A7" w:rsidP="004447A7">
            <w:pPr>
              <w:rPr>
                <w:rFonts w:ascii="Times New Roman" w:hAnsi="Times New Roman" w:cs="Times New Roman"/>
              </w:rPr>
            </w:pPr>
          </w:p>
          <w:p w14:paraId="2A9ECF75" w14:textId="24B0FBDF" w:rsidR="004447A7" w:rsidRPr="00023EFE" w:rsidRDefault="004447A7" w:rsidP="004447A7">
            <w:pPr>
              <w:rPr>
                <w:rFonts w:ascii="Times New Roman" w:hAnsi="Times New Roman" w:cs="Times New Roman"/>
              </w:rPr>
            </w:pPr>
            <w:r w:rsidRPr="00023EFE">
              <w:rPr>
                <w:rStyle w:val="ae"/>
                <w:rFonts w:ascii="Times New Roman" w:eastAsiaTheme="majorEastAsia" w:hAnsi="Times New Roman" w:cs="Times New Roman"/>
                <w:b w:val="0"/>
                <w:bCs w:val="0"/>
              </w:rPr>
              <w:t xml:space="preserve">НПТЛ </w:t>
            </w:r>
          </w:p>
          <w:p w14:paraId="2E181B37" w14:textId="77777777" w:rsidR="004447A7" w:rsidRPr="00023EFE" w:rsidRDefault="004447A7" w:rsidP="004447A7">
            <w:pPr>
              <w:pStyle w:val="ad"/>
            </w:pPr>
            <w:r w:rsidRPr="00023EFE">
              <w:t xml:space="preserve">-Направление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«Цифровые технологии»</w:t>
            </w:r>
            <w:r w:rsidRPr="00023EFE">
              <w:t>:</w:t>
            </w:r>
            <w:r w:rsidRPr="00023EFE">
              <w:br/>
              <w:t>информационные технологии; программные продукты и телекоммуникационные системы; системы обработки больших объёмов данных, машинного обучения и искусственного интеллекта (ядро проекта — алгоритмы компьютерного зрения и ML, реализованные в программно-аппаратном комплексе очков и мобильного приложения).</w:t>
            </w:r>
          </w:p>
          <w:p w14:paraId="1CB4D3D8" w14:textId="677C7EC4" w:rsidR="004447A7" w:rsidRPr="00023EFE" w:rsidRDefault="004447A7" w:rsidP="004447A7">
            <w:pPr>
              <w:pStyle w:val="ad"/>
            </w:pPr>
            <w:r w:rsidRPr="00023EFE">
              <w:t xml:space="preserve">-Направление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«Медицина и здоровье» / «высокотехнологичное здравоохранение и технологии </w:t>
            </w: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здоровьесбережения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>»</w:t>
            </w:r>
            <w:r w:rsidRPr="00023EFE">
              <w:t>:</w:t>
            </w:r>
            <w:r w:rsidRPr="00023EFE">
              <w:br/>
              <w:t>решение относится к цифровым технологиям реабилитации и повышения качества жизни людей с нарушениями зрения.</w:t>
            </w:r>
          </w:p>
          <w:p w14:paraId="602FC382" w14:textId="0B1DE72E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СНТР РФ</w:t>
            </w:r>
          </w:p>
          <w:p w14:paraId="236C3B5A" w14:textId="799FA97E" w:rsidR="004447A7" w:rsidRPr="00023EFE" w:rsidRDefault="004447A7" w:rsidP="004447A7">
            <w:pPr>
              <w:pStyle w:val="ad"/>
            </w:pPr>
            <w:r w:rsidRPr="00023EFE">
              <w:t xml:space="preserve">-Приоритет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«Переход к персонализированной медицине, высокотехнологичному здравоохранению и технологиям </w:t>
            </w: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здоровьесбережения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>»</w:t>
            </w:r>
            <w:r w:rsidRPr="00023EFE">
              <w:t xml:space="preserve"> —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обеспечивает персонализированную поддержку слабовидящих пользователей за счёт адаптивных алгоритмов и индивидуальных сценариев использования.</w:t>
            </w:r>
          </w:p>
          <w:p w14:paraId="0A2DBF78" w14:textId="078DBCC5" w:rsidR="004447A7" w:rsidRPr="00023EFE" w:rsidRDefault="004447A7" w:rsidP="004447A7">
            <w:pPr>
              <w:pStyle w:val="ad"/>
            </w:pPr>
            <w:r w:rsidRPr="00023EFE">
              <w:lastRenderedPageBreak/>
              <w:t xml:space="preserve">-Приоритет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«Цифровые технологии, робототехника и новые производственные технологии»</w:t>
            </w:r>
            <w:r w:rsidRPr="00023EFE">
              <w:t xml:space="preserve"> — проект опирается на цифровую компоненту (AI/ML, обработка данных) и разработку специализированного носимого устройства.</w:t>
            </w:r>
          </w:p>
          <w:p w14:paraId="181714EB" w14:textId="77777777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Критические и сквозные технологии</w:t>
            </w:r>
          </w:p>
          <w:p w14:paraId="488A494C" w14:textId="6BB8E675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-Технологии искусственного интеллекта и обработки больших данных</w:t>
            </w:r>
            <w:r w:rsidRPr="00023EFE">
              <w:t xml:space="preserve"> (компьютерное зрение, распознавание объектов и текста, адаптивные модели под условия городской среды).</w:t>
            </w:r>
          </w:p>
          <w:p w14:paraId="7C2ABED9" w14:textId="5CF7806A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-Технологии сенсорики и мехатроники / носимая электроника</w:t>
            </w:r>
            <w:r w:rsidRPr="00023EFE">
              <w:t xml:space="preserve"> (аппаратная платформа очков, камеры, датчики, встроенные вычислительные модули).</w:t>
            </w:r>
          </w:p>
          <w:p w14:paraId="0EE88DA9" w14:textId="6B8F42B6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>-Технологии человеко-машинных интерфейсов и голосовых ассистентов</w:t>
            </w:r>
            <w:r w:rsidRPr="00023EFE">
              <w:t xml:space="preserve"> (голосовые подсказки, интерфейс для пользователей с нарушением зрения).</w:t>
            </w:r>
          </w:p>
          <w:p w14:paraId="0A8F456B" w14:textId="3D641918" w:rsidR="004447A7" w:rsidRPr="00023EFE" w:rsidRDefault="004447A7" w:rsidP="004447A7">
            <w:pPr>
              <w:pStyle w:val="ad"/>
            </w:pPr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-Сквозные цифровые технологии </w:t>
            </w:r>
            <w:proofErr w:type="spellStart"/>
            <w:r w:rsidRPr="00023EFE">
              <w:rPr>
                <w:rStyle w:val="ae"/>
                <w:rFonts w:eastAsiaTheme="majorEastAsia"/>
                <w:b w:val="0"/>
                <w:bCs w:val="0"/>
              </w:rPr>
              <w:t>IoT</w:t>
            </w:r>
            <w:proofErr w:type="spellEnd"/>
            <w:r w:rsidRPr="00023EFE">
              <w:rPr>
                <w:rStyle w:val="ae"/>
                <w:rFonts w:eastAsiaTheme="majorEastAsia"/>
                <w:b w:val="0"/>
                <w:bCs w:val="0"/>
              </w:rPr>
              <w:t xml:space="preserve"> и мобильных коммуникаций</w:t>
            </w:r>
            <w:r w:rsidRPr="00023EFE">
              <w:t xml:space="preserve"> (интеграция очков со смартфоном и сетевой инфраструктурой, возможность последующей интеграции с сервисами «умного города» и медицинскими сервисами).</w:t>
            </w:r>
          </w:p>
          <w:p w14:paraId="644FD470" w14:textId="496355CC" w:rsidR="004539B4" w:rsidRPr="00023EFE" w:rsidRDefault="004539B4" w:rsidP="004539B4">
            <w:pPr>
              <w:pStyle w:val="ad"/>
            </w:pPr>
            <w:r w:rsidRPr="00023EFE">
              <w:t xml:space="preserve">2)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Уровень готовности технологии</w:t>
            </w:r>
            <w:r w:rsidRPr="00023EFE">
              <w:br/>
              <w:t xml:space="preserve">Технология, лежащая в основе проекта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(использование алгоритмов компьютерного зрения и искусственного интеллекта для поддержки пространственной ориентации и озвучивания визуальной информации на базе носимого устройства), находится на ранней стадии развития и оценивается как </w:t>
            </w:r>
            <w:r w:rsidRPr="00023EFE">
              <w:rPr>
                <w:rStyle w:val="ae"/>
                <w:rFonts w:eastAsiaTheme="majorEastAsia"/>
                <w:b w:val="0"/>
                <w:bCs w:val="0"/>
              </w:rPr>
              <w:t>TRL 2–3</w:t>
            </w:r>
            <w:r w:rsidRPr="00023EFE">
              <w:t>. Сформулирована концепция решения, определены ключевые функциональные блоки и архитектура программно-аппаратного комплекса, ведётся предварительный анализ и подбор алгоритмов (распознавание объектов, препятствий и текстовой информации). Разработка интегрированного прототипа и проведение пилотных испытаний с участием целевой аудитории запланированы как следующий этап повышения уровня готовности технологии.</w:t>
            </w:r>
          </w:p>
          <w:p w14:paraId="237E7A54" w14:textId="6595C3AC" w:rsidR="004447A7" w:rsidRPr="00023EFE" w:rsidRDefault="004447A7" w:rsidP="004447A7">
            <w:pPr>
              <w:pStyle w:val="ad"/>
            </w:pPr>
          </w:p>
          <w:p w14:paraId="77D88A44" w14:textId="748F1554" w:rsidR="004539B4" w:rsidRPr="00023EFE" w:rsidRDefault="004539B4" w:rsidP="004539B4">
            <w:pPr>
              <w:pStyle w:val="ad"/>
            </w:pPr>
            <w:r w:rsidRPr="00023EFE">
              <w:t>3)</w:t>
            </w:r>
            <w:r w:rsidR="0024230C" w:rsidRPr="00023EFE">
              <w:t xml:space="preserve"> Технология опирается на ряд критических компонентов. От качества их реализации зависит точность, скорость, надёжность работы системы и её отличие от существующих решений.</w:t>
            </w:r>
            <w:r w:rsidRPr="00023EFE">
              <w:t xml:space="preserve"> </w:t>
            </w:r>
          </w:p>
          <w:p w14:paraId="6E8C0D3B" w14:textId="77777777" w:rsidR="004539B4" w:rsidRPr="00023EFE" w:rsidRDefault="004539B4" w:rsidP="004539B4">
            <w:pPr>
              <w:pStyle w:val="ad"/>
            </w:pPr>
            <w:r w:rsidRPr="00023EFE">
              <w:t xml:space="preserve"> - Модуль восприятия (камера, датчики расстояния — лидарам/ультразвуку/радару, инерционные датчики), от качества которого зависят точность «картины мира» для системы, устойчивость работы в сложных условиях (сумерки, осадки, засветка) и своевременное обнаружение препятствий. </w:t>
            </w:r>
          </w:p>
          <w:p w14:paraId="03B45C11" w14:textId="77777777" w:rsidR="004539B4" w:rsidRPr="00023EFE" w:rsidRDefault="004539B4" w:rsidP="004539B4">
            <w:pPr>
              <w:pStyle w:val="ad"/>
            </w:pPr>
            <w:r w:rsidRPr="00023EFE">
              <w:lastRenderedPageBreak/>
              <w:t xml:space="preserve">- Вычислительная платформа и архитектура: сочетание аппаратной начинки очков и смартфона, а также распределение вычислений между устройством и, при необходимости, сервером определяют задержку отклика, время автономной работы и возможность масштабировать функционал без полной замены «железа». </w:t>
            </w:r>
          </w:p>
          <w:p w14:paraId="39A03C84" w14:textId="77777777" w:rsidR="004539B4" w:rsidRPr="00023EFE" w:rsidRDefault="004539B4" w:rsidP="004539B4">
            <w:pPr>
              <w:pStyle w:val="ad"/>
            </w:pPr>
            <w:r w:rsidRPr="00023EFE">
              <w:t xml:space="preserve">- Платформа данных и база данных — хранилища моделей, конфигураций и анонимизированных пользовательских сценариев, позволяющие регулярно обновлять и </w:t>
            </w:r>
            <w:proofErr w:type="spellStart"/>
            <w:r w:rsidRPr="00023EFE">
              <w:t>дообучать</w:t>
            </w:r>
            <w:proofErr w:type="spellEnd"/>
            <w:r w:rsidRPr="00023EFE">
              <w:t xml:space="preserve"> алгоритмы под реальные российские условия, тем самым обеспечивая эволюцию продукта без физической замены устройств. </w:t>
            </w:r>
          </w:p>
          <w:p w14:paraId="70D03088" w14:textId="77777777" w:rsidR="004539B4" w:rsidRPr="00023EFE" w:rsidRDefault="004539B4" w:rsidP="004539B4">
            <w:pPr>
              <w:pStyle w:val="ad"/>
            </w:pPr>
            <w:r w:rsidRPr="00023EFE">
              <w:t xml:space="preserve">- ИИ-ядро и навигационный ассистент: модели компьютерного зрения и распознавания текста, адаптированные к русскоязычной среде и типичным городским сценариям, а также логика принятия решений о том, какие подсказки и в какой момент озвучивать; именно здесь сосредоточена основная интеллектуальная уникальность и конкурентное преимущество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. </w:t>
            </w:r>
          </w:p>
          <w:p w14:paraId="31B29F3F" w14:textId="77777777" w:rsidR="0024230C" w:rsidRPr="00023EFE" w:rsidRDefault="004539B4" w:rsidP="004539B4">
            <w:pPr>
              <w:pStyle w:val="ad"/>
            </w:pPr>
            <w:r w:rsidRPr="00023EFE">
              <w:t xml:space="preserve">- Интерфейс (человеко-машинный) и </w:t>
            </w:r>
            <w:proofErr w:type="spellStart"/>
            <w:r w:rsidRPr="00023EFE">
              <w:t>аудиоинтерфейс</w:t>
            </w:r>
            <w:proofErr w:type="spellEnd"/>
            <w:r w:rsidRPr="00023EFE">
              <w:t xml:space="preserve">: структура голосовых подсказок, способы управления и настройки под пользователя критически важны для того, чтобы система была не только технологически сложной, но и реально удобной, безопасной и не перегружала пользователя информацией. </w:t>
            </w:r>
          </w:p>
          <w:p w14:paraId="5B265E11" w14:textId="12EB37A3" w:rsidR="004539B4" w:rsidRPr="00023EFE" w:rsidRDefault="0024230C" w:rsidP="004539B4">
            <w:pPr>
              <w:pStyle w:val="ad"/>
            </w:pPr>
            <w:r w:rsidRPr="00023EFE">
              <w:t>- С</w:t>
            </w:r>
            <w:r w:rsidR="004539B4" w:rsidRPr="00023EFE">
              <w:t xml:space="preserve">истемы безопасности и защиты данных, а также потенциальная интеграция с внешней инфраструктурой (элементы «умного города», транспортные и реабилитационные сервисы) определяют возможность использования </w:t>
            </w:r>
            <w:proofErr w:type="spellStart"/>
            <w:r w:rsidR="004539B4" w:rsidRPr="00023EFE">
              <w:t>MadVision</w:t>
            </w:r>
            <w:proofErr w:type="spellEnd"/>
            <w:r w:rsidR="004539B4" w:rsidRPr="00023EFE">
              <w:t xml:space="preserve"> в качестве надёжного реабилитационного инструмента и платформенного решения, интегрированного в более широкий контур доступной городской среды.</w:t>
            </w:r>
          </w:p>
          <w:p w14:paraId="4EB9D3DE" w14:textId="17105165" w:rsidR="004539B4" w:rsidRPr="00023EFE" w:rsidRDefault="0024230C" w:rsidP="004539B4">
            <w:pPr>
              <w:pStyle w:val="ad"/>
            </w:pPr>
            <w:r w:rsidRPr="00023EFE">
              <w:t xml:space="preserve">4) Концепция продукта </w:t>
            </w:r>
            <w:proofErr w:type="spellStart"/>
            <w:r w:rsidRPr="00023EFE">
              <w:t>MadVision</w:t>
            </w:r>
            <w:proofErr w:type="spellEnd"/>
          </w:p>
          <w:p w14:paraId="2D7559D2" w14:textId="77777777" w:rsidR="0024230C" w:rsidRPr="00023EFE" w:rsidRDefault="0024230C" w:rsidP="0024230C">
            <w:pPr>
              <w:pStyle w:val="ad"/>
            </w:pPr>
            <w:r w:rsidRPr="00023EFE">
              <w:t xml:space="preserve">Концепция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исходит из того, что человек с нарушением зрения чаще всего «упирается» не только в медицину, а в повседневную логику города: как безопасно дойти до нужного места, не запутаться в незнакомом пространстве, понять, что написано на табличке, где вход, какая остановка, какой препарат он держит в руках. При этом существующие решения обычно фрагментарны: трость помогает обнаружить препятствие у ног, лупа — рассмотреть текст, отдельные приложения — распознать надпись, но всё это не складывается в единую, удобную для человека систему сопровождения в реальном времени.</w:t>
            </w:r>
          </w:p>
          <w:p w14:paraId="0A0391B4" w14:textId="77777777" w:rsidR="0024230C" w:rsidRPr="00023EFE" w:rsidRDefault="0024230C" w:rsidP="0024230C">
            <w:pPr>
              <w:pStyle w:val="ad"/>
            </w:pPr>
            <w:proofErr w:type="spellStart"/>
            <w:r w:rsidRPr="00023EFE">
              <w:t>MadVision</w:t>
            </w:r>
            <w:proofErr w:type="spellEnd"/>
            <w:r w:rsidRPr="00023EFE">
              <w:t xml:space="preserve"> предлагает рассматривать эти задачи как единую проблему «цифровой навигации для слабовидящего </w:t>
            </w:r>
            <w:r w:rsidRPr="00023EFE">
              <w:lastRenderedPageBreak/>
              <w:t>пользователя». Продукт — это умные очки, которые через камеру и датчики «считывают» обстановку и при помощи встроенного ИИ-ассистента превращают её в последовательность коротких, практичных голосовых подсказок: где расположены значимые объекты, на каком расстоянии препятствие, в какую сторону двигаться, что написано на табличке или упаковке. Очки работают в связке со смартфоном и опираются на программно-аппаратную платформу, специально настраиваемую под российскую городскую среду и типичные повседневные сценарии пользователей.</w:t>
            </w:r>
          </w:p>
          <w:p w14:paraId="45F953A6" w14:textId="77777777" w:rsidR="0024230C" w:rsidRPr="00023EFE" w:rsidRDefault="0024230C" w:rsidP="0024230C">
            <w:pPr>
              <w:pStyle w:val="ad"/>
            </w:pPr>
            <w:r w:rsidRPr="00023EFE">
              <w:t xml:space="preserve">Ключевая идея состоит в том, чтобы создать не универсальный «гаджет для всех», а специализированный инструмент сопровождения для людей с серьёзным снижением зрения, который помогает им безопасно перемещаться, самостоятельно решать бытовые задачи и уменьшать зависимость от постоянной помощи окружающих. </w:t>
            </w:r>
            <w:proofErr w:type="spellStart"/>
            <w:r w:rsidRPr="00023EFE">
              <w:t>MadVision</w:t>
            </w:r>
            <w:proofErr w:type="spellEnd"/>
            <w:r w:rsidRPr="00023EFE">
              <w:t xml:space="preserve"> задуман как элемент современной системы реабилитации: он дополняет уже выдаваемые технические средства, закрывая критический разрыв именно в части ориентации и доступа к визуальной информации в динамичной городской среде.</w:t>
            </w:r>
          </w:p>
          <w:p w14:paraId="52A6C928" w14:textId="77777777" w:rsidR="0024230C" w:rsidRPr="00023EFE" w:rsidRDefault="0024230C" w:rsidP="004539B4">
            <w:pPr>
              <w:pStyle w:val="ad"/>
            </w:pPr>
          </w:p>
          <w:p w14:paraId="7B3312F0" w14:textId="77777777" w:rsidR="004447A7" w:rsidRPr="00023EFE" w:rsidRDefault="004447A7" w:rsidP="004447A7">
            <w:pPr>
              <w:pStyle w:val="ad"/>
            </w:pPr>
          </w:p>
          <w:p w14:paraId="74B6C7F2" w14:textId="74026F64" w:rsidR="004447A7" w:rsidRPr="00023EFE" w:rsidRDefault="004447A7" w:rsidP="004447A7">
            <w:pPr>
              <w:rPr>
                <w:rFonts w:ascii="Times New Roman" w:hAnsi="Times New Roman" w:cs="Times New Roman"/>
              </w:rPr>
            </w:pPr>
          </w:p>
        </w:tc>
      </w:tr>
      <w:tr w:rsidR="00984E76" w:rsidRPr="00023EFE" w14:paraId="2B9EA610" w14:textId="77777777" w:rsidTr="00E11AFE">
        <w:tc>
          <w:tcPr>
            <w:tcW w:w="2169" w:type="dxa"/>
          </w:tcPr>
          <w:p w14:paraId="72D6DF07" w14:textId="77777777" w:rsidR="00843C8D" w:rsidRPr="00843C8D" w:rsidRDefault="00843C8D" w:rsidP="00843C8D">
            <w:pPr>
              <w:pStyle w:val="ad"/>
              <w:shd w:val="clear" w:color="auto" w:fill="FFFFFF"/>
              <w:rPr>
                <w:b/>
                <w:bCs/>
              </w:rPr>
            </w:pPr>
            <w:r w:rsidRPr="00843C8D">
              <w:rPr>
                <w:b/>
                <w:bCs/>
              </w:rPr>
              <w:lastRenderedPageBreak/>
              <w:t>Наличие потенциала развития стартап- проекта</w:t>
            </w:r>
          </w:p>
          <w:p w14:paraId="5865870B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4325523E" w14:textId="77777777" w:rsidR="00984E76" w:rsidRPr="00023EFE" w:rsidRDefault="001574EB" w:rsidP="001574EB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23EFE">
              <w:rPr>
                <w:rFonts w:ascii="Times New Roman" w:hAnsi="Times New Roman" w:cs="Times New Roman"/>
              </w:rPr>
              <w:t xml:space="preserve">Наше УТП </w:t>
            </w:r>
          </w:p>
          <w:p w14:paraId="312A023C" w14:textId="77777777" w:rsidR="003A788A" w:rsidRDefault="003A788A" w:rsidP="003A788A">
            <w:pPr>
              <w:pStyle w:val="ad"/>
              <w:numPr>
                <w:ilvl w:val="0"/>
                <w:numId w:val="21"/>
              </w:numPr>
            </w:pPr>
            <w:r>
              <w:t>Наши очки позволят людям с нарушением зрения уверенно решать повседневные задачи — ходить по своим маршрутам, пользоваться транспортом, посещать социально значимые объекты — без ощущения, что для них требуется «особый режим».</w:t>
            </w:r>
          </w:p>
          <w:p w14:paraId="33A48FFD" w14:textId="77777777" w:rsidR="003A788A" w:rsidRDefault="003A788A" w:rsidP="003A788A">
            <w:pPr>
              <w:pStyle w:val="ad"/>
              <w:numPr>
                <w:ilvl w:val="0"/>
                <w:numId w:val="21"/>
              </w:numPr>
            </w:pPr>
            <w:r>
              <w:t>Конкурентный анализ</w:t>
            </w:r>
          </w:p>
          <w:p w14:paraId="4B34AEBB" w14:textId="77777777" w:rsidR="003A788A" w:rsidRDefault="003A788A" w:rsidP="003A788A">
            <w:pPr>
              <w:pStyle w:val="ad"/>
            </w:pPr>
            <w:r>
              <w:rPr>
                <w:rStyle w:val="ae"/>
                <w:rFonts w:eastAsiaTheme="majorEastAsia"/>
              </w:rPr>
              <w:t>Прямые конкуренты</w:t>
            </w:r>
          </w:p>
          <w:p w14:paraId="3F202343" w14:textId="58861832" w:rsidR="003A788A" w:rsidRDefault="003A788A" w:rsidP="003A788A">
            <w:pPr>
              <w:pStyle w:val="ad"/>
              <w:numPr>
                <w:ilvl w:val="0"/>
                <w:numId w:val="22"/>
              </w:numPr>
            </w:pPr>
            <w:r>
              <w:rPr>
                <w:rStyle w:val="ae"/>
                <w:rFonts w:eastAsiaTheme="majorEastAsia"/>
              </w:rPr>
              <w:t xml:space="preserve">Электронные очки </w:t>
            </w:r>
            <w:proofErr w:type="spellStart"/>
            <w:r>
              <w:rPr>
                <w:rStyle w:val="ae"/>
                <w:rFonts w:eastAsiaTheme="majorEastAsia"/>
              </w:rPr>
              <w:t>Acesight</w:t>
            </w:r>
            <w:proofErr w:type="spellEnd"/>
            <w:r>
              <w:rPr>
                <w:rStyle w:val="ae"/>
                <w:rFonts w:eastAsiaTheme="majorEastAsia"/>
              </w:rPr>
              <w:t>— импортные электронные очки для слабовидящих</w:t>
            </w:r>
            <w:r>
              <w:br/>
              <w:t>Что это: очки с камерой и дисплеями, которые увеличивают изображение перед глазами пользователя, помогают читать текст, рассматривать объекты, смотреть ТВ. Продаются в РФ через поставщиков ТСР, стоимость порядка 330–350 тыс. руб.</w:t>
            </w:r>
            <w:r>
              <w:br/>
              <w:t xml:space="preserve">• Сильные стороны: высокое качество картинки и увеличения, хорошие возможности для чтения и «рассматривания»; продукт уже серийный, есть поставки в РФ; определённое доверие со стороны </w:t>
            </w:r>
            <w:proofErr w:type="spellStart"/>
            <w:r>
              <w:t>тифлосообщества</w:t>
            </w:r>
            <w:proofErr w:type="spellEnd"/>
            <w:r>
              <w:t>.</w:t>
            </w:r>
            <w:r>
              <w:br/>
              <w:t xml:space="preserve">• Слабые стороны: очень высокая цена для массового пользователя; фокус в первую очередь на увеличении изображения, а не на активной навигации и подсказках по </w:t>
            </w:r>
            <w:r>
              <w:lastRenderedPageBreak/>
              <w:t>маршруту; интерфейс и сценарии не адаптированы специально под российскую городскую среду (вывески, инфраструктура).</w:t>
            </w:r>
          </w:p>
          <w:p w14:paraId="4EF58753" w14:textId="77777777" w:rsidR="003A788A" w:rsidRDefault="003A788A" w:rsidP="003A788A">
            <w:pPr>
              <w:pStyle w:val="ad"/>
              <w:numPr>
                <w:ilvl w:val="0"/>
                <w:numId w:val="22"/>
              </w:numPr>
            </w:pPr>
            <w:proofErr w:type="spellStart"/>
            <w:r>
              <w:rPr>
                <w:rStyle w:val="ae"/>
                <w:rFonts w:eastAsiaTheme="majorEastAsia"/>
              </w:rPr>
              <w:t>OrCam</w:t>
            </w:r>
            <w:proofErr w:type="spellEnd"/>
            <w:r>
              <w:rPr>
                <w:rStyle w:val="ae"/>
                <w:rFonts w:eastAsiaTheme="majorEastAsia"/>
              </w:rPr>
              <w:t xml:space="preserve"> </w:t>
            </w:r>
            <w:proofErr w:type="spellStart"/>
            <w:r>
              <w:rPr>
                <w:rStyle w:val="ae"/>
                <w:rFonts w:eastAsiaTheme="majorEastAsia"/>
              </w:rPr>
              <w:t>MyEye</w:t>
            </w:r>
            <w:proofErr w:type="spellEnd"/>
            <w:r>
              <w:rPr>
                <w:rStyle w:val="ae"/>
                <w:rFonts w:eastAsiaTheme="majorEastAsia"/>
              </w:rPr>
              <w:t xml:space="preserve"> и подобные камеры-ассистенты</w:t>
            </w:r>
            <w:r>
              <w:br/>
              <w:t>Что это: миниатюрная камера, крепящаяся к оправе, плюс вычислительный блок; устройство распознаёт текст, лица и объекты, описывает сцену вслух, может определить цвет светофора и т.п.</w:t>
            </w:r>
            <w:r>
              <w:br/>
              <w:t xml:space="preserve">• Сильные стороны: высокий уровень технологичности (распознавание текста, объектов, лиц); устройство уже давно на рынке и имеет положительные кейсы; </w:t>
            </w:r>
            <w:proofErr w:type="spellStart"/>
            <w:r>
              <w:t>hands-free</w:t>
            </w:r>
            <w:proofErr w:type="spellEnd"/>
            <w:r>
              <w:t xml:space="preserve"> формат (крепится к любым очкам).</w:t>
            </w:r>
            <w:r>
              <w:br/>
              <w:t>• Слабые стороны: крайне высокая стоимость (порядка нескольких тысяч евро); основной упор — на распознавание и чтение, а не на непрерывную навигацию и «проведение» по маршруту; ориентирован на глобальный рынок, нет прямой заточки под российские реалии и систему ТСР.</w:t>
            </w:r>
          </w:p>
          <w:p w14:paraId="3C5547A8" w14:textId="2B5B1CD1" w:rsidR="003A788A" w:rsidRDefault="003A788A" w:rsidP="003A788A">
            <w:pPr>
              <w:pStyle w:val="ad"/>
              <w:numPr>
                <w:ilvl w:val="0"/>
                <w:numId w:val="22"/>
              </w:numPr>
            </w:pPr>
            <w:proofErr w:type="spellStart"/>
            <w:r>
              <w:rPr>
                <w:rStyle w:val="ae"/>
                <w:rFonts w:eastAsiaTheme="majorEastAsia"/>
              </w:rPr>
              <w:t>Oriense</w:t>
            </w:r>
            <w:proofErr w:type="spellEnd"/>
            <w:r>
              <w:rPr>
                <w:rStyle w:val="ae"/>
                <w:rFonts w:eastAsiaTheme="majorEastAsia"/>
              </w:rPr>
              <w:t>— российский разработчик навигационных устройств и «очков»</w:t>
            </w:r>
            <w:r>
              <w:br/>
              <w:t>Что это: линейка устройств для слепых и слабовидящих, которые совмещают GPS-навигацию, компьютерное зрение и 3D-камеры. Устройства позволяют строить маршрут, обнаруживать препятствия (ямы, ступени, переходы), предупреждать об опасностях и читать информацию с уличных вывесок.</w:t>
            </w:r>
            <w:r>
              <w:br/>
              <w:t>• Сильные стороны: российское происхождение; явный фокус именно на навигации и безопасности, а не только на увеличении; использование сочетания навигации и компьютерного зрения; опыт пилотных испытаний в обществах слепых.</w:t>
            </w:r>
            <w:r>
              <w:br/>
              <w:t>• Слабые стороны: решения пока нишевые, не массовые; интерфейсы могут быть сложны для пожилых пользователей; нет признаков широкой интеграции в федеральную систему ТСР; продуктовая линейка воспринимается скорее как «технологический проект», чем как стандартизованный массовый ассистент.</w:t>
            </w:r>
          </w:p>
          <w:p w14:paraId="2EAABCF7" w14:textId="616D51EB" w:rsidR="003A788A" w:rsidRDefault="003A788A" w:rsidP="003A788A">
            <w:pPr>
              <w:pStyle w:val="ad"/>
              <w:numPr>
                <w:ilvl w:val="0"/>
                <w:numId w:val="22"/>
              </w:numPr>
            </w:pPr>
            <w:r>
              <w:rPr>
                <w:rStyle w:val="ae"/>
                <w:rFonts w:eastAsiaTheme="majorEastAsia"/>
              </w:rPr>
              <w:t xml:space="preserve">Навигационные системы «ПАРУС» и звуковые маяки </w:t>
            </w:r>
            <w:r>
              <w:br/>
              <w:t>Что это: стационарные системы навигации для слепых и слабовидящих в зданиях и на территориях. Состоят из браслетов-активаторов и сети звуковых маяков/громкоговорителей; помогают понять, где человек находится и куда ему двигаться внутри объекта.</w:t>
            </w:r>
            <w:r>
              <w:br/>
              <w:t>• Сильные стороны: официальные решения, применяемые в рамках «Доступной среды»; хорошо подходят для навигации внутри учреждений (поликлиники, МФЦ, школы и т.д.); уже встроены в реабилитационную практику и закупки.</w:t>
            </w:r>
            <w:r>
              <w:br/>
              <w:t xml:space="preserve">• Слабые стороны: завязаны на инфраструктуру — работают только там, где установлены маяки; не решают задачу навигации «по городу» и по индивидуальным </w:t>
            </w:r>
            <w:r>
              <w:lastRenderedPageBreak/>
              <w:t>маршрутам; пользователь зависит от наличия/качества реализации системы в конкретном месте.</w:t>
            </w:r>
          </w:p>
          <w:p w14:paraId="67202DC3" w14:textId="77777777" w:rsidR="003A788A" w:rsidRDefault="003A788A" w:rsidP="003A788A">
            <w:pPr>
              <w:pStyle w:val="ad"/>
            </w:pPr>
            <w:r>
              <w:rPr>
                <w:rStyle w:val="ae"/>
                <w:rFonts w:eastAsiaTheme="majorEastAsia"/>
              </w:rPr>
              <w:t>Косвенные конкуренты</w:t>
            </w:r>
          </w:p>
          <w:p w14:paraId="58889078" w14:textId="4441E64B" w:rsidR="003A788A" w:rsidRDefault="003A788A" w:rsidP="003A788A">
            <w:pPr>
              <w:pStyle w:val="ad"/>
              <w:numPr>
                <w:ilvl w:val="0"/>
                <w:numId w:val="23"/>
              </w:numPr>
            </w:pPr>
            <w:r>
              <w:rPr>
                <w:rStyle w:val="ae"/>
                <w:rFonts w:eastAsiaTheme="majorEastAsia"/>
              </w:rPr>
              <w:t xml:space="preserve">Классическая </w:t>
            </w:r>
            <w:proofErr w:type="spellStart"/>
            <w:r>
              <w:rPr>
                <w:rStyle w:val="ae"/>
                <w:rFonts w:eastAsiaTheme="majorEastAsia"/>
              </w:rPr>
              <w:t>тифлотехника</w:t>
            </w:r>
            <w:proofErr w:type="spellEnd"/>
            <w:r>
              <w:rPr>
                <w:rStyle w:val="ae"/>
                <w:rFonts w:eastAsiaTheme="majorEastAsia"/>
              </w:rPr>
              <w:t xml:space="preserve"> (трости, электронные трости, лупы)</w:t>
            </w:r>
            <w:r>
              <w:br/>
              <w:t>Сильные стороны: отработанные, понятные пользователям технологии; широкий выбор производителей; многие позиции входят в федеральные и региональные перечни ТСР, обеспечиваются за счёт бюджета; относительно невысокая стоимость по сравнению с высокотехнологичными очками.</w:t>
            </w:r>
            <w:r>
              <w:br/>
              <w:t>• Слабые стороны: каждое устройство решает узкую задачу (трость — только препятствия у ног; лупа — только текст и т.д.), нет комплексной поддержки в динамичной городской среде; не обеспечивают интеллектуальную навигацию и работу с контекстом маршрута.</w:t>
            </w:r>
          </w:p>
          <w:p w14:paraId="0A1B2463" w14:textId="77777777" w:rsidR="003A788A" w:rsidRDefault="003A788A" w:rsidP="003A788A">
            <w:pPr>
              <w:pStyle w:val="ad"/>
              <w:numPr>
                <w:ilvl w:val="0"/>
                <w:numId w:val="23"/>
              </w:numPr>
            </w:pPr>
            <w:r>
              <w:rPr>
                <w:rStyle w:val="ae"/>
                <w:rFonts w:eastAsiaTheme="majorEastAsia"/>
              </w:rPr>
              <w:t>Смартфонные приложения для слабовидящих (навигационные и «компьютерное зрение»)</w:t>
            </w:r>
            <w:r>
              <w:br/>
              <w:t xml:space="preserve">• Сильные стороны: не требуют отдельного дорогого «железа» — используются уже имеющиеся смартфоны; могут распознавать текст, объекты, давать </w:t>
            </w:r>
            <w:proofErr w:type="spellStart"/>
            <w:r>
              <w:t>аудиоописание</w:t>
            </w:r>
            <w:proofErr w:type="spellEnd"/>
            <w:r>
              <w:t>; некоторые решения интегрируются с навигацией.</w:t>
            </w:r>
            <w:r>
              <w:br/>
              <w:t xml:space="preserve">• Слабые стороны: пользователь вынужден постоянно держать телефон в руках и направлять камеру, что неудобно и небезопасно при движении; ограниченная </w:t>
            </w:r>
            <w:proofErr w:type="spellStart"/>
            <w:r>
              <w:t>hands-free</w:t>
            </w:r>
            <w:proofErr w:type="spellEnd"/>
            <w:r>
              <w:t xml:space="preserve"> навигация; качество работы сильно зависит от навыков пользователя и условий съёмки.</w:t>
            </w:r>
          </w:p>
          <w:p w14:paraId="4E4FA6CE" w14:textId="77777777" w:rsidR="003A788A" w:rsidRDefault="003A788A" w:rsidP="003A788A">
            <w:pPr>
              <w:pStyle w:val="ad"/>
              <w:numPr>
                <w:ilvl w:val="0"/>
                <w:numId w:val="23"/>
              </w:numPr>
            </w:pPr>
            <w:r>
              <w:rPr>
                <w:rStyle w:val="ae"/>
                <w:rFonts w:eastAsiaTheme="majorEastAsia"/>
              </w:rPr>
              <w:t>Инфраструктурные решения «доступной среды» (тактильные указатели, звуковые маяки, рельефные схемы)</w:t>
            </w:r>
            <w:r>
              <w:br/>
              <w:t>• Сильные стороны: официальная поддержка, нормативное закрепление; используются в транспорте, госучреждениях и социальных объектах; создают базовый каркас ориентирования для всех инвалидов по зрению.</w:t>
            </w:r>
            <w:r>
              <w:br/>
              <w:t>• Слабые стороны: сильно зависят от качества конкретной реализации (часто сделано формально); не могут сопровождать человека по индивидуальному маршруту «от двери квартиры до конкретного кабинета»; не подстраиваются под конкретного пользователя и его ограничения.</w:t>
            </w:r>
          </w:p>
          <w:p w14:paraId="60BF198E" w14:textId="77777777" w:rsidR="003A788A" w:rsidRDefault="003A788A" w:rsidP="003A788A">
            <w:pPr>
              <w:pStyle w:val="ad"/>
            </w:pPr>
            <w:r>
              <w:t xml:space="preserve">Конкурентная среда фактически подтверждает наличие устойчивого спроса: существует ряд решений, за которые пользователи и государство готовы платить, но большинство из них остаются дорогими, технологически сложными и малопонятными для массового пользователя. </w:t>
            </w:r>
            <w:proofErr w:type="spellStart"/>
            <w:r>
              <w:t>MadVision</w:t>
            </w:r>
            <w:proofErr w:type="spellEnd"/>
            <w:r>
              <w:t xml:space="preserve"> исходит из иной логики: мы опираемся на уже доступные и отработанные технологии (камера, датчики, алгоритмы компьютерного зрения и ИИ) и упаковываем их в понятный, простой в использовании </w:t>
            </w:r>
            <w:r>
              <w:lastRenderedPageBreak/>
              <w:t>продукт с фокусом на реальных сценариях слабовидящих людей, формируя массовое решение с адекватным, не завышенным чеком, пригодное для включения в систему ТСР и повседневного использования.</w:t>
            </w:r>
          </w:p>
          <w:p w14:paraId="1E444BEF" w14:textId="77777777" w:rsidR="003A788A" w:rsidRDefault="003A788A" w:rsidP="003A788A">
            <w:pPr>
              <w:pStyle w:val="ad"/>
            </w:pPr>
            <w:r>
              <w:rPr>
                <w:rStyle w:val="ae"/>
                <w:rFonts w:eastAsiaTheme="majorEastAsia"/>
              </w:rPr>
              <w:t>Наши ключевые преимущества</w:t>
            </w:r>
            <w:r>
              <w:br/>
              <w:t>• Фокус на реальной навигации и сопровождении повседневных маршрутов, а не только на увеличении изображения или распознавании текста.</w:t>
            </w:r>
            <w:r>
              <w:br/>
              <w:t>• Более доступный ценовой уровень по сравнению с импортными электронными очками и камерами за счёт использования доступных компонентов и вынесения тяжёлых вычислений в смартфон.</w:t>
            </w:r>
            <w:r>
              <w:br/>
              <w:t>• Привычный форм-фактор обычных очков и максимально простой интерфейс, ориентированный в том числе на пожилых пользователей (минимум действий, голосовые подсказки).</w:t>
            </w:r>
            <w:r>
              <w:br/>
              <w:t>• Локализация под российские условия: язык, типичные городские сценарии, интеграция с элементами «доступной среды» и возможностью включения в перечни ТСР.</w:t>
            </w:r>
            <w:r>
              <w:br/>
              <w:t>• Массовый и тиражируемый продукт, который можно поставлять через НКО, реабилитационные центры, фонды и региональные программы, а не только единично отдельным пользователям.</w:t>
            </w:r>
          </w:p>
          <w:p w14:paraId="745CAC61" w14:textId="77777777" w:rsidR="00A0747E" w:rsidRPr="00023EFE" w:rsidRDefault="00A0747E" w:rsidP="00A07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  <w:p w14:paraId="49FA8A76" w14:textId="33D669D1" w:rsidR="001574EB" w:rsidRPr="00023EFE" w:rsidRDefault="001574EB" w:rsidP="003A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84E76" w:rsidRPr="00023EFE" w14:paraId="08578C92" w14:textId="77777777" w:rsidTr="00E11AFE">
        <w:tc>
          <w:tcPr>
            <w:tcW w:w="2169" w:type="dxa"/>
          </w:tcPr>
          <w:p w14:paraId="1BBA38EB" w14:textId="77777777" w:rsidR="007F6EEF" w:rsidRPr="00843C8D" w:rsidRDefault="007F6EEF" w:rsidP="007F6EEF">
            <w:pPr>
              <w:pStyle w:val="ad"/>
              <w:shd w:val="clear" w:color="auto" w:fill="FFFFFF"/>
              <w:rPr>
                <w:b/>
                <w:bCs/>
              </w:rPr>
            </w:pPr>
            <w:proofErr w:type="spellStart"/>
            <w:r w:rsidRPr="00843C8D">
              <w:rPr>
                <w:b/>
                <w:bCs/>
              </w:rPr>
              <w:lastRenderedPageBreak/>
              <w:t>Быстрыи</w:t>
            </w:r>
            <w:proofErr w:type="spellEnd"/>
            <w:r w:rsidRPr="00843C8D">
              <w:rPr>
                <w:b/>
                <w:bCs/>
              </w:rPr>
              <w:t xml:space="preserve">̆ рост стартап-проекта </w:t>
            </w:r>
          </w:p>
          <w:p w14:paraId="00557B73" w14:textId="77777777" w:rsidR="00984E76" w:rsidRPr="00023EFE" w:rsidRDefault="00984E76" w:rsidP="007F6EEF">
            <w:pPr>
              <w:pStyle w:val="ad"/>
              <w:shd w:val="clear" w:color="auto" w:fill="FFFFFF"/>
            </w:pPr>
          </w:p>
        </w:tc>
        <w:tc>
          <w:tcPr>
            <w:tcW w:w="7176" w:type="dxa"/>
          </w:tcPr>
          <w:p w14:paraId="09E0EED9" w14:textId="77777777" w:rsidR="00211081" w:rsidRPr="00211081" w:rsidRDefault="00211081" w:rsidP="00211081">
            <w:pPr>
              <w:pStyle w:val="3"/>
              <w:rPr>
                <w:rFonts w:ascii="Times New Roman" w:hAnsi="Times New Roman" w:cs="Times New Roman"/>
                <w:color w:val="000000" w:themeColor="text1"/>
              </w:rPr>
            </w:pPr>
            <w:r w:rsidRPr="00211081">
              <w:rPr>
                <w:rFonts w:ascii="Times New Roman" w:hAnsi="Times New Roman" w:cs="Times New Roman"/>
                <w:color w:val="000000" w:themeColor="text1"/>
              </w:rPr>
              <w:t>Этап 1. Разработка MVP и проверка концепции</w:t>
            </w:r>
          </w:p>
          <w:p w14:paraId="1537C0D1" w14:textId="0F298B92" w:rsidR="00211081" w:rsidRPr="00211081" w:rsidRDefault="00211081" w:rsidP="00211081">
            <w:pPr>
              <w:pStyle w:val="ad"/>
              <w:rPr>
                <w:color w:val="000000" w:themeColor="text1"/>
              </w:rPr>
            </w:pP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Срок:</w:t>
            </w:r>
            <w:r w:rsidRPr="0021108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январь-июнь (2026)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Что делаем:</w:t>
            </w:r>
            <w:r w:rsidRPr="00211081">
              <w:rPr>
                <w:color w:val="000000" w:themeColor="text1"/>
              </w:rPr>
              <w:t xml:space="preserve"> финализируем требования к продукту, выбираем техническую архитектуру (очки + смартфон), собираем 1–2 прототипа, подключаем первую группу слабовидящих пользователей, отрабатываем базовые сценарии навигации и чтения текста.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Результат:</w:t>
            </w:r>
            <w:r w:rsidRPr="00211081">
              <w:rPr>
                <w:color w:val="000000" w:themeColor="text1"/>
              </w:rPr>
              <w:t xml:space="preserve"> рабочий MVP </w:t>
            </w:r>
            <w:proofErr w:type="spellStart"/>
            <w:r w:rsidRPr="00211081">
              <w:rPr>
                <w:color w:val="000000" w:themeColor="text1"/>
              </w:rPr>
              <w:t>MadVision</w:t>
            </w:r>
            <w:proofErr w:type="spellEnd"/>
            <w:r w:rsidRPr="00211081">
              <w:rPr>
                <w:color w:val="000000" w:themeColor="text1"/>
              </w:rPr>
              <w:t>, подтверждённая потребность со стороны ЦА и партнёров.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KPI:</w:t>
            </w:r>
          </w:p>
          <w:p w14:paraId="16ECDE6E" w14:textId="77777777" w:rsidR="00211081" w:rsidRPr="00211081" w:rsidRDefault="00211081" w:rsidP="00211081">
            <w:pPr>
              <w:pStyle w:val="ad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1–2 рабочих прототипа;</w:t>
            </w:r>
          </w:p>
          <w:p w14:paraId="4E2FBD3A" w14:textId="2CEA0169" w:rsidR="00211081" w:rsidRPr="00211081" w:rsidRDefault="00211081" w:rsidP="00211081">
            <w:pPr>
              <w:pStyle w:val="ad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5–10 пользователей в тестах / пилоте.</w:t>
            </w:r>
          </w:p>
          <w:p w14:paraId="187B3257" w14:textId="77777777" w:rsidR="00211081" w:rsidRPr="00211081" w:rsidRDefault="00211081" w:rsidP="00211081">
            <w:pPr>
              <w:pStyle w:val="3"/>
              <w:rPr>
                <w:rFonts w:ascii="Times New Roman" w:hAnsi="Times New Roman" w:cs="Times New Roman"/>
                <w:color w:val="000000" w:themeColor="text1"/>
              </w:rPr>
            </w:pPr>
            <w:r w:rsidRPr="00211081">
              <w:rPr>
                <w:rFonts w:ascii="Times New Roman" w:hAnsi="Times New Roman" w:cs="Times New Roman"/>
                <w:color w:val="000000" w:themeColor="text1"/>
              </w:rPr>
              <w:t>Этап 2. Привлечение первого финансирования и подготовка пилотной партии</w:t>
            </w:r>
          </w:p>
          <w:p w14:paraId="4946E608" w14:textId="487574AB" w:rsidR="00211081" w:rsidRPr="00211081" w:rsidRDefault="00211081" w:rsidP="00211081">
            <w:pPr>
              <w:pStyle w:val="ad"/>
              <w:rPr>
                <w:color w:val="000000" w:themeColor="text1"/>
              </w:rPr>
            </w:pP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Срок:</w:t>
            </w:r>
            <w:r w:rsidRPr="0021108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июль-декабрь 2026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Что делаем:</w:t>
            </w:r>
            <w:r w:rsidRPr="00211081">
              <w:rPr>
                <w:color w:val="000000" w:themeColor="text1"/>
              </w:rPr>
              <w:t xml:space="preserve"> готовим заявки в фонды и на гранты, выходим на бизнес-ангела, защищаем проект на конкурсах и акселераторах; дорабатываем MVP до стабильной версии, готовой к выпуску небольшой партии (порядка 40 комплектов) под платные пилоты.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Результат:</w:t>
            </w:r>
            <w:r w:rsidRPr="00211081">
              <w:rPr>
                <w:color w:val="000000" w:themeColor="text1"/>
              </w:rPr>
              <w:t xml:space="preserve"> привлечён первый раунд финансирования </w:t>
            </w:r>
            <w:r w:rsidRPr="00211081">
              <w:rPr>
                <w:color w:val="000000" w:themeColor="text1"/>
              </w:rPr>
              <w:lastRenderedPageBreak/>
              <w:t>(</w:t>
            </w:r>
            <w:proofErr w:type="spellStart"/>
            <w:r w:rsidRPr="00211081">
              <w:rPr>
                <w:color w:val="000000" w:themeColor="text1"/>
              </w:rPr>
              <w:t>предпосев</w:t>
            </w:r>
            <w:proofErr w:type="spellEnd"/>
            <w:r w:rsidRPr="00211081">
              <w:rPr>
                <w:color w:val="000000" w:themeColor="text1"/>
              </w:rPr>
              <w:t>/посев), сформирована пилотная партия устройств.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KPI:</w:t>
            </w:r>
          </w:p>
          <w:p w14:paraId="3FF3A41D" w14:textId="77777777" w:rsidR="00211081" w:rsidRPr="00211081" w:rsidRDefault="00211081" w:rsidP="00211081">
            <w:pPr>
              <w:pStyle w:val="ad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 xml:space="preserve">привлечено </w:t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0,8–1,0 млн руб.</w:t>
            </w:r>
            <w:r w:rsidRPr="00211081">
              <w:rPr>
                <w:color w:val="000000" w:themeColor="text1"/>
              </w:rPr>
              <w:t>;</w:t>
            </w:r>
          </w:p>
          <w:p w14:paraId="6D3AC42B" w14:textId="3DF58557" w:rsidR="00211081" w:rsidRPr="00843C8D" w:rsidRDefault="00211081" w:rsidP="00843C8D">
            <w:pPr>
              <w:pStyle w:val="ad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готовность к выпуску партии ~40 комплектов.</w:t>
            </w:r>
          </w:p>
          <w:p w14:paraId="0284A2AF" w14:textId="77777777" w:rsidR="00211081" w:rsidRPr="00211081" w:rsidRDefault="00211081" w:rsidP="00211081">
            <w:pPr>
              <w:pStyle w:val="3"/>
              <w:rPr>
                <w:rFonts w:ascii="Times New Roman" w:hAnsi="Times New Roman" w:cs="Times New Roman"/>
                <w:color w:val="000000" w:themeColor="text1"/>
              </w:rPr>
            </w:pPr>
            <w:r w:rsidRPr="00211081">
              <w:rPr>
                <w:rFonts w:ascii="Times New Roman" w:hAnsi="Times New Roman" w:cs="Times New Roman"/>
                <w:color w:val="000000" w:themeColor="text1"/>
              </w:rPr>
              <w:t>Этап 3. Пилотные внедрения и проверка экономики</w:t>
            </w:r>
          </w:p>
          <w:p w14:paraId="3561B239" w14:textId="7BD3DA8C" w:rsidR="00211081" w:rsidRPr="00211081" w:rsidRDefault="00211081" w:rsidP="00211081">
            <w:pPr>
              <w:pStyle w:val="ad"/>
              <w:rPr>
                <w:color w:val="000000" w:themeColor="text1"/>
              </w:rPr>
            </w:pP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Срок:</w:t>
            </w:r>
            <w:r w:rsidRPr="0021108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декабрь 2026</w:t>
            </w:r>
            <w:r w:rsidR="00843C8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- </w:t>
            </w:r>
            <w:r w:rsidR="00843C8D">
              <w:rPr>
                <w:color w:val="000000" w:themeColor="text1"/>
              </w:rPr>
              <w:t>апрель 2027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Что делаем:</w:t>
            </w:r>
            <w:r w:rsidRPr="00211081">
              <w:rPr>
                <w:color w:val="000000" w:themeColor="text1"/>
              </w:rPr>
              <w:t xml:space="preserve"> запускаем платные пилоты с НКО, реабилитационными центрами и фондами, собираем данные по использованию и эффекту для пользователей, проверяем юнит-экономику (чек, себестоимость, поддержка), корректируем продукт.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Результат:</w:t>
            </w:r>
            <w:r w:rsidRPr="00211081">
              <w:rPr>
                <w:color w:val="000000" w:themeColor="text1"/>
              </w:rPr>
              <w:t xml:space="preserve"> подтверждена готовность партнёров платить за решение, продуктовая версия </w:t>
            </w:r>
            <w:proofErr w:type="spellStart"/>
            <w:r w:rsidRPr="00211081">
              <w:rPr>
                <w:color w:val="000000" w:themeColor="text1"/>
              </w:rPr>
              <w:t>MadVision</w:t>
            </w:r>
            <w:proofErr w:type="spellEnd"/>
            <w:r w:rsidRPr="00211081">
              <w:rPr>
                <w:color w:val="000000" w:themeColor="text1"/>
              </w:rPr>
              <w:t>, понятная экономическая модель.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KPI:</w:t>
            </w:r>
          </w:p>
          <w:p w14:paraId="7FFEF359" w14:textId="77777777" w:rsidR="00211081" w:rsidRPr="00211081" w:rsidRDefault="00211081" w:rsidP="00211081">
            <w:pPr>
              <w:pStyle w:val="ad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3–4 партнёрские организации;</w:t>
            </w:r>
          </w:p>
          <w:p w14:paraId="72CA887A" w14:textId="77777777" w:rsidR="00211081" w:rsidRPr="00211081" w:rsidRDefault="00211081" w:rsidP="00211081">
            <w:pPr>
              <w:pStyle w:val="ad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реализовано не менее 40 комплектов.</w:t>
            </w:r>
          </w:p>
          <w:p w14:paraId="3825273D" w14:textId="77777777" w:rsidR="00211081" w:rsidRPr="00211081" w:rsidRDefault="00211081" w:rsidP="00211081">
            <w:pPr>
              <w:pStyle w:val="3"/>
              <w:rPr>
                <w:rFonts w:ascii="Times New Roman" w:hAnsi="Times New Roman" w:cs="Times New Roman"/>
                <w:color w:val="000000" w:themeColor="text1"/>
              </w:rPr>
            </w:pPr>
            <w:r w:rsidRPr="00211081">
              <w:rPr>
                <w:rFonts w:ascii="Times New Roman" w:hAnsi="Times New Roman" w:cs="Times New Roman"/>
                <w:color w:val="000000" w:themeColor="text1"/>
              </w:rPr>
              <w:t>Этап 4. Масштабирование через партнёрские каналы</w:t>
            </w:r>
          </w:p>
          <w:p w14:paraId="045F2E2C" w14:textId="1E492011" w:rsidR="00211081" w:rsidRPr="00211081" w:rsidRDefault="00211081" w:rsidP="00211081">
            <w:pPr>
              <w:pStyle w:val="ad"/>
              <w:rPr>
                <w:color w:val="000000" w:themeColor="text1"/>
              </w:rPr>
            </w:pP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Срок:</w:t>
            </w:r>
            <w:r w:rsidRPr="00211081">
              <w:rPr>
                <w:color w:val="000000" w:themeColor="text1"/>
              </w:rPr>
              <w:t xml:space="preserve"> </w:t>
            </w:r>
            <w:r w:rsidR="00843C8D">
              <w:rPr>
                <w:color w:val="000000" w:themeColor="text1"/>
              </w:rPr>
              <w:t>май-ноябрь 2027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Что делаем:</w:t>
            </w:r>
            <w:r w:rsidRPr="00211081">
              <w:rPr>
                <w:color w:val="000000" w:themeColor="text1"/>
              </w:rPr>
              <w:t xml:space="preserve"> расширяем сеть НКО и реабилитационных центров, выходим в новые регионы, стандартизируем процесс внедрения (обучение, поддержка, сервис), наращиваем объём продаж за счёт повторных закупок и рекомендаций.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Результат:</w:t>
            </w:r>
            <w:r w:rsidRPr="00211081">
              <w:rPr>
                <w:color w:val="000000" w:themeColor="text1"/>
              </w:rPr>
              <w:t xml:space="preserve"> устойчивые продажи через партнёрские каналы, положительный операционный денежный поток.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KPI:</w:t>
            </w:r>
          </w:p>
          <w:p w14:paraId="527B0DBF" w14:textId="77777777" w:rsidR="00211081" w:rsidRPr="00211081" w:rsidRDefault="00211081" w:rsidP="00211081">
            <w:pPr>
              <w:pStyle w:val="ad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не менее 3–5 регионов/кластеров с активными внедрениями;</w:t>
            </w:r>
          </w:p>
          <w:p w14:paraId="55CB4854" w14:textId="77777777" w:rsidR="00211081" w:rsidRPr="00211081" w:rsidRDefault="00211081" w:rsidP="00211081">
            <w:pPr>
              <w:pStyle w:val="ad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совокупный объём продаж от начала проекта ≥150 комплектов.</w:t>
            </w:r>
          </w:p>
          <w:p w14:paraId="72A2A697" w14:textId="05BCB7EC" w:rsidR="00211081" w:rsidRPr="00211081" w:rsidRDefault="00211081" w:rsidP="002110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DDD428" w14:textId="77777777" w:rsidR="00211081" w:rsidRPr="00211081" w:rsidRDefault="00211081" w:rsidP="00211081">
            <w:pPr>
              <w:pStyle w:val="3"/>
              <w:rPr>
                <w:rFonts w:ascii="Times New Roman" w:hAnsi="Times New Roman" w:cs="Times New Roman"/>
                <w:color w:val="000000" w:themeColor="text1"/>
              </w:rPr>
            </w:pPr>
            <w:r w:rsidRPr="00211081">
              <w:rPr>
                <w:rFonts w:ascii="Times New Roman" w:hAnsi="Times New Roman" w:cs="Times New Roman"/>
                <w:color w:val="000000" w:themeColor="text1"/>
              </w:rPr>
              <w:t>Этап 5. Тендеры, ТСР и закрепление на рынке</w:t>
            </w:r>
          </w:p>
          <w:p w14:paraId="2D20F28D" w14:textId="299B8F15" w:rsidR="00211081" w:rsidRPr="00211081" w:rsidRDefault="00211081" w:rsidP="00211081">
            <w:pPr>
              <w:pStyle w:val="ad"/>
              <w:rPr>
                <w:color w:val="000000" w:themeColor="text1"/>
              </w:rPr>
            </w:pP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Срок:</w:t>
            </w:r>
            <w:r w:rsidRPr="00211081">
              <w:rPr>
                <w:color w:val="000000" w:themeColor="text1"/>
              </w:rPr>
              <w:t xml:space="preserve"> </w:t>
            </w:r>
            <w:r w:rsidR="00843C8D">
              <w:rPr>
                <w:color w:val="000000" w:themeColor="text1"/>
              </w:rPr>
              <w:t>2027 год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Что делаем:</w:t>
            </w:r>
            <w:r w:rsidRPr="00211081">
              <w:rPr>
                <w:color w:val="000000" w:themeColor="text1"/>
              </w:rPr>
              <w:t xml:space="preserve"> готовим и подаём заявки на включение </w:t>
            </w:r>
            <w:proofErr w:type="spellStart"/>
            <w:r w:rsidRPr="00211081">
              <w:rPr>
                <w:color w:val="000000" w:themeColor="text1"/>
              </w:rPr>
              <w:t>MadVision</w:t>
            </w:r>
            <w:proofErr w:type="spellEnd"/>
            <w:r w:rsidRPr="00211081">
              <w:rPr>
                <w:color w:val="000000" w:themeColor="text1"/>
              </w:rPr>
              <w:t xml:space="preserve"> в программы ТСР и региональные проекты «Доступной среды», участвуем в тендерах и крупных закупках, выстраиваем долгосрочные контракты с </w:t>
            </w:r>
            <w:proofErr w:type="spellStart"/>
            <w:r w:rsidRPr="00211081">
              <w:rPr>
                <w:color w:val="000000" w:themeColor="text1"/>
              </w:rPr>
              <w:t>гос</w:t>
            </w:r>
            <w:proofErr w:type="spellEnd"/>
            <w:r w:rsidRPr="00211081">
              <w:rPr>
                <w:color w:val="000000" w:themeColor="text1"/>
              </w:rPr>
              <w:t>- и региональными структурами.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Результат:</w:t>
            </w:r>
            <w:r w:rsidRPr="00211081">
              <w:rPr>
                <w:color w:val="000000" w:themeColor="text1"/>
              </w:rPr>
              <w:t xml:space="preserve"> </w:t>
            </w:r>
            <w:proofErr w:type="spellStart"/>
            <w:r w:rsidRPr="00211081">
              <w:rPr>
                <w:color w:val="000000" w:themeColor="text1"/>
              </w:rPr>
              <w:t>MadVision</w:t>
            </w:r>
            <w:proofErr w:type="spellEnd"/>
            <w:r w:rsidRPr="00211081">
              <w:rPr>
                <w:color w:val="000000" w:themeColor="text1"/>
              </w:rPr>
              <w:t xml:space="preserve"> закрепляется как типовое решение для слабовидящих в рамках </w:t>
            </w:r>
            <w:proofErr w:type="spellStart"/>
            <w:r w:rsidRPr="00211081">
              <w:rPr>
                <w:color w:val="000000" w:themeColor="text1"/>
              </w:rPr>
              <w:t>гос</w:t>
            </w:r>
            <w:proofErr w:type="spellEnd"/>
            <w:r w:rsidRPr="00211081">
              <w:rPr>
                <w:color w:val="000000" w:themeColor="text1"/>
              </w:rPr>
              <w:t>- и благотворительных программ, формируется стабильный поток заказов.</w:t>
            </w:r>
            <w:r w:rsidRPr="00211081">
              <w:rPr>
                <w:color w:val="000000" w:themeColor="text1"/>
              </w:rPr>
              <w:br/>
            </w:r>
            <w:r w:rsidRPr="00211081">
              <w:rPr>
                <w:rStyle w:val="ae"/>
                <w:rFonts w:eastAsiaTheme="majorEastAsia"/>
                <w:b w:val="0"/>
                <w:bCs w:val="0"/>
                <w:color w:val="000000" w:themeColor="text1"/>
              </w:rPr>
              <w:t>KPI:</w:t>
            </w:r>
          </w:p>
          <w:p w14:paraId="6405D3E7" w14:textId="77777777" w:rsidR="00211081" w:rsidRPr="00211081" w:rsidRDefault="00211081" w:rsidP="00211081">
            <w:pPr>
              <w:pStyle w:val="ad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lastRenderedPageBreak/>
              <w:t>участие в 2–3 тендерах/программах ТСР;</w:t>
            </w:r>
          </w:p>
          <w:p w14:paraId="4E9F2619" w14:textId="77777777" w:rsidR="00211081" w:rsidRPr="00211081" w:rsidRDefault="00211081" w:rsidP="00211081">
            <w:pPr>
              <w:pStyle w:val="ad"/>
              <w:numPr>
                <w:ilvl w:val="0"/>
                <w:numId w:val="29"/>
              </w:numPr>
              <w:rPr>
                <w:color w:val="000000" w:themeColor="text1"/>
              </w:rPr>
            </w:pPr>
            <w:r w:rsidRPr="00211081">
              <w:rPr>
                <w:color w:val="000000" w:themeColor="text1"/>
              </w:rPr>
              <w:t>суммарно реализовано ≥400 комплектов (от старта проекта).</w:t>
            </w:r>
          </w:p>
          <w:p w14:paraId="6A6D90C4" w14:textId="77777777" w:rsidR="00984E76" w:rsidRPr="00211081" w:rsidRDefault="00984E76" w:rsidP="00211081">
            <w:pPr>
              <w:pStyle w:val="ad"/>
              <w:rPr>
                <w:color w:val="000000" w:themeColor="text1"/>
              </w:rPr>
            </w:pPr>
          </w:p>
        </w:tc>
      </w:tr>
      <w:tr w:rsidR="00984E76" w:rsidRPr="00023EFE" w14:paraId="2AD6A55B" w14:textId="77777777" w:rsidTr="00E11AFE">
        <w:tc>
          <w:tcPr>
            <w:tcW w:w="2169" w:type="dxa"/>
          </w:tcPr>
          <w:p w14:paraId="21B864FA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3A069D8B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</w:tr>
      <w:tr w:rsidR="00984E76" w:rsidRPr="00023EFE" w14:paraId="77F0CF9D" w14:textId="77777777" w:rsidTr="00E11AFE">
        <w:tc>
          <w:tcPr>
            <w:tcW w:w="2169" w:type="dxa"/>
          </w:tcPr>
          <w:p w14:paraId="07924EF5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6" w:type="dxa"/>
          </w:tcPr>
          <w:p w14:paraId="12EBB7A4" w14:textId="77777777" w:rsidR="00984E76" w:rsidRPr="00023EFE" w:rsidRDefault="00984E76">
            <w:pPr>
              <w:rPr>
                <w:rFonts w:ascii="Times New Roman" w:hAnsi="Times New Roman" w:cs="Times New Roman"/>
              </w:rPr>
            </w:pPr>
          </w:p>
        </w:tc>
      </w:tr>
    </w:tbl>
    <w:p w14:paraId="7D77FD99" w14:textId="77777777" w:rsidR="00DF390C" w:rsidRDefault="00DF390C">
      <w:pPr>
        <w:rPr>
          <w:rFonts w:ascii="Times New Roman" w:hAnsi="Times New Roman" w:cs="Times New Roman"/>
        </w:rPr>
      </w:pPr>
    </w:p>
    <w:p w14:paraId="77F490AA" w14:textId="77777777" w:rsidR="00023EFE" w:rsidRPr="00023EFE" w:rsidRDefault="00023EFE">
      <w:pPr>
        <w:rPr>
          <w:rFonts w:ascii="Times New Roman" w:hAnsi="Times New Roman" w:cs="Times New Roman"/>
        </w:rPr>
      </w:pPr>
    </w:p>
    <w:sectPr w:rsidR="00023EFE" w:rsidRPr="0002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674"/>
    <w:multiLevelType w:val="multilevel"/>
    <w:tmpl w:val="C5E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8C6F8D"/>
    <w:multiLevelType w:val="hybridMultilevel"/>
    <w:tmpl w:val="DEF87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77E0"/>
    <w:multiLevelType w:val="multilevel"/>
    <w:tmpl w:val="1958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22689"/>
    <w:multiLevelType w:val="multilevel"/>
    <w:tmpl w:val="2BB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94C7F"/>
    <w:multiLevelType w:val="multilevel"/>
    <w:tmpl w:val="E978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F2CC8"/>
    <w:multiLevelType w:val="multilevel"/>
    <w:tmpl w:val="565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E7A9E"/>
    <w:multiLevelType w:val="multilevel"/>
    <w:tmpl w:val="A482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86D13"/>
    <w:multiLevelType w:val="multilevel"/>
    <w:tmpl w:val="6EDA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FE262B"/>
    <w:multiLevelType w:val="multilevel"/>
    <w:tmpl w:val="EA1E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26231"/>
    <w:multiLevelType w:val="hybridMultilevel"/>
    <w:tmpl w:val="2A86D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2678"/>
    <w:multiLevelType w:val="multilevel"/>
    <w:tmpl w:val="FD6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1139F"/>
    <w:multiLevelType w:val="multilevel"/>
    <w:tmpl w:val="D3B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C6741"/>
    <w:multiLevelType w:val="hybridMultilevel"/>
    <w:tmpl w:val="1F601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7178"/>
    <w:multiLevelType w:val="multilevel"/>
    <w:tmpl w:val="C8B8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F7CFB"/>
    <w:multiLevelType w:val="multilevel"/>
    <w:tmpl w:val="DE00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3D5C"/>
    <w:multiLevelType w:val="multilevel"/>
    <w:tmpl w:val="48E2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E36E93"/>
    <w:multiLevelType w:val="multilevel"/>
    <w:tmpl w:val="8C2E6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805F6B"/>
    <w:multiLevelType w:val="multilevel"/>
    <w:tmpl w:val="CD8E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13C8C"/>
    <w:multiLevelType w:val="multilevel"/>
    <w:tmpl w:val="0A4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55722"/>
    <w:multiLevelType w:val="multilevel"/>
    <w:tmpl w:val="E16E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F5CAD"/>
    <w:multiLevelType w:val="multilevel"/>
    <w:tmpl w:val="3A24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CD7D50"/>
    <w:multiLevelType w:val="multilevel"/>
    <w:tmpl w:val="893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820383">
    <w:abstractNumId w:val="19"/>
  </w:num>
  <w:num w:numId="2" w16cid:durableId="909458769">
    <w:abstractNumId w:val="12"/>
  </w:num>
  <w:num w:numId="3" w16cid:durableId="1315528666">
    <w:abstractNumId w:val="28"/>
  </w:num>
  <w:num w:numId="4" w16cid:durableId="1955749965">
    <w:abstractNumId w:val="26"/>
  </w:num>
  <w:num w:numId="5" w16cid:durableId="2065788187">
    <w:abstractNumId w:val="13"/>
  </w:num>
  <w:num w:numId="6" w16cid:durableId="954794880">
    <w:abstractNumId w:val="8"/>
  </w:num>
  <w:num w:numId="7" w16cid:durableId="671226742">
    <w:abstractNumId w:val="27"/>
  </w:num>
  <w:num w:numId="8" w16cid:durableId="551967319">
    <w:abstractNumId w:val="16"/>
  </w:num>
  <w:num w:numId="9" w16cid:durableId="170485485">
    <w:abstractNumId w:val="0"/>
  </w:num>
  <w:num w:numId="10" w16cid:durableId="1513640114">
    <w:abstractNumId w:val="1"/>
  </w:num>
  <w:num w:numId="11" w16cid:durableId="1903102675">
    <w:abstractNumId w:val="2"/>
  </w:num>
  <w:num w:numId="12" w16cid:durableId="1866744242">
    <w:abstractNumId w:val="3"/>
  </w:num>
  <w:num w:numId="13" w16cid:durableId="28917959">
    <w:abstractNumId w:val="4"/>
  </w:num>
  <w:num w:numId="14" w16cid:durableId="1354921892">
    <w:abstractNumId w:val="5"/>
  </w:num>
  <w:num w:numId="15" w16cid:durableId="406273164">
    <w:abstractNumId w:val="6"/>
  </w:num>
  <w:num w:numId="16" w16cid:durableId="2058972055">
    <w:abstractNumId w:val="21"/>
  </w:num>
  <w:num w:numId="17" w16cid:durableId="1558473082">
    <w:abstractNumId w:val="20"/>
  </w:num>
  <w:num w:numId="18" w16cid:durableId="2005622066">
    <w:abstractNumId w:val="18"/>
  </w:num>
  <w:num w:numId="19" w16cid:durableId="1834183205">
    <w:abstractNumId w:val="10"/>
  </w:num>
  <w:num w:numId="20" w16cid:durableId="583420302">
    <w:abstractNumId w:val="25"/>
  </w:num>
  <w:num w:numId="21" w16cid:durableId="1791510617">
    <w:abstractNumId w:val="14"/>
  </w:num>
  <w:num w:numId="22" w16cid:durableId="2025398853">
    <w:abstractNumId w:val="22"/>
  </w:num>
  <w:num w:numId="23" w16cid:durableId="424494239">
    <w:abstractNumId w:val="23"/>
  </w:num>
  <w:num w:numId="24" w16cid:durableId="916868253">
    <w:abstractNumId w:val="7"/>
  </w:num>
  <w:num w:numId="25" w16cid:durableId="1900748155">
    <w:abstractNumId w:val="9"/>
  </w:num>
  <w:num w:numId="26" w16cid:durableId="473261541">
    <w:abstractNumId w:val="15"/>
  </w:num>
  <w:num w:numId="27" w16cid:durableId="634288813">
    <w:abstractNumId w:val="17"/>
  </w:num>
  <w:num w:numId="28" w16cid:durableId="1004742807">
    <w:abstractNumId w:val="11"/>
  </w:num>
  <w:num w:numId="29" w16cid:durableId="3014704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76"/>
    <w:rsid w:val="00023EFE"/>
    <w:rsid w:val="000A5CF0"/>
    <w:rsid w:val="001574EB"/>
    <w:rsid w:val="00211081"/>
    <w:rsid w:val="0024230C"/>
    <w:rsid w:val="00280FB0"/>
    <w:rsid w:val="003A788A"/>
    <w:rsid w:val="004447A7"/>
    <w:rsid w:val="004539B4"/>
    <w:rsid w:val="00481DE1"/>
    <w:rsid w:val="007F6EEF"/>
    <w:rsid w:val="00832FD1"/>
    <w:rsid w:val="00843C8D"/>
    <w:rsid w:val="008F042E"/>
    <w:rsid w:val="00984E76"/>
    <w:rsid w:val="00A0747E"/>
    <w:rsid w:val="00A756D9"/>
    <w:rsid w:val="00C33D25"/>
    <w:rsid w:val="00DF390C"/>
    <w:rsid w:val="00E064CC"/>
    <w:rsid w:val="00E11AFE"/>
    <w:rsid w:val="00E47789"/>
    <w:rsid w:val="00E5001D"/>
    <w:rsid w:val="00E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411A"/>
  <w15:chartTrackingRefBased/>
  <w15:docId w15:val="{62C56FE9-15B3-8340-9D5A-2C844F23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4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8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E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E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E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E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E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E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E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E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E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E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4E7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8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8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280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4246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 Артемий Андреевич</dc:creator>
  <cp:keywords/>
  <dc:description/>
  <cp:lastModifiedBy>Полетаев Артемий Андреевич</cp:lastModifiedBy>
  <cp:revision>4</cp:revision>
  <dcterms:created xsi:type="dcterms:W3CDTF">2025-12-11T15:01:00Z</dcterms:created>
  <dcterms:modified xsi:type="dcterms:W3CDTF">2025-12-12T18:42:00Z</dcterms:modified>
</cp:coreProperties>
</file>