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E5EA" w14:textId="50EB3232" w:rsidR="006C2C80" w:rsidRDefault="004D3797" w:rsidP="004D3797">
      <w:pPr>
        <w:jc w:val="center"/>
      </w:pPr>
      <w:r w:rsidRPr="004D3797">
        <w:rPr>
          <w:b/>
          <w:sz w:val="26"/>
          <w:lang w:val="ru-RU"/>
        </w:rPr>
        <w:t>П</w:t>
      </w:r>
      <w:r w:rsidR="00000000" w:rsidRPr="004D3797">
        <w:rPr>
          <w:b/>
          <w:sz w:val="26"/>
          <w:lang w:val="ru-RU"/>
        </w:rPr>
        <w:t>аспорт</w:t>
      </w:r>
      <w:r>
        <w:rPr>
          <w:b/>
          <w:sz w:val="26"/>
          <w:lang w:val="ru-RU"/>
        </w:rPr>
        <w:t xml:space="preserve"> </w:t>
      </w:r>
      <w:r w:rsidR="00000000" w:rsidRPr="004D3797">
        <w:rPr>
          <w:b/>
          <w:sz w:val="26"/>
          <w:lang w:val="ru-RU"/>
        </w:rPr>
        <w:t xml:space="preserve">стартап-проекта </w:t>
      </w:r>
    </w:p>
    <w:p w14:paraId="27AB20CC" w14:textId="77777777" w:rsidR="006C2C80" w:rsidRDefault="006C2C80">
      <w:pPr>
        <w:spacing w:after="40"/>
      </w:pP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8"/>
        <w:gridCol w:w="7537"/>
      </w:tblGrid>
      <w:tr w:rsidR="006C2C80" w:rsidRPr="004D3797" w14:paraId="59E8F7DD" w14:textId="77777777" w:rsidTr="004D3797">
        <w:trPr>
          <w:jc w:val="center"/>
        </w:trPr>
        <w:tc>
          <w:tcPr>
            <w:tcW w:w="1818" w:type="dxa"/>
          </w:tcPr>
          <w:p w14:paraId="4282B840" w14:textId="7276C220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Число участников стартап-проекта и их компетенции </w:t>
            </w:r>
          </w:p>
        </w:tc>
        <w:tc>
          <w:tcPr>
            <w:tcW w:w="7537" w:type="dxa"/>
          </w:tcPr>
          <w:p w14:paraId="2BE3457E" w14:textId="15D5FCE4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1. Семёнова Надежда Константиновна — основатель, </w:t>
            </w:r>
            <w:r w:rsidRPr="004D3797">
              <w:rPr>
                <w:bCs/>
                <w:sz w:val="21"/>
                <w:szCs w:val="21"/>
              </w:rPr>
              <w:t>CEO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и </w:t>
            </w:r>
            <w:r w:rsidRPr="004D3797">
              <w:rPr>
                <w:bCs/>
                <w:sz w:val="21"/>
                <w:szCs w:val="21"/>
              </w:rPr>
              <w:t>Product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Owner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. Компетенции: продуктовая стратегия и видение, проведение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кастдев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-исследований, маркетинговый и рыночный анализ, финансовое планирование, постановка задач разработчику, поиск партнёрств. Студент направления</w:t>
            </w:r>
            <w:r w:rsid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  <w:lang w:val="ru-RU"/>
              </w:rPr>
              <w:t>«Экономика», профиль «Корпоративные финансы».</w:t>
            </w:r>
          </w:p>
          <w:p w14:paraId="48EDCF3C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2. </w:t>
            </w:r>
            <w:r w:rsidRPr="004D3797">
              <w:rPr>
                <w:bCs/>
                <w:sz w:val="21"/>
                <w:szCs w:val="21"/>
              </w:rPr>
              <w:t>Full</w:t>
            </w:r>
            <w:r w:rsidRPr="004D3797">
              <w:rPr>
                <w:bCs/>
                <w:sz w:val="21"/>
                <w:szCs w:val="21"/>
                <w:lang w:val="ru-RU"/>
              </w:rPr>
              <w:t>-</w:t>
            </w:r>
            <w:r w:rsidRPr="004D3797">
              <w:rPr>
                <w:bCs/>
                <w:sz w:val="21"/>
                <w:szCs w:val="21"/>
              </w:rPr>
              <w:t>stack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разработчик (привлекается по договору подряда) — разработка и техническая поддержка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Mini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App</w:t>
            </w:r>
            <w:r w:rsidRPr="004D3797">
              <w:rPr>
                <w:bCs/>
                <w:sz w:val="21"/>
                <w:szCs w:val="21"/>
                <w:lang w:val="ru-RU"/>
              </w:rPr>
              <w:t>.</w:t>
            </w:r>
          </w:p>
          <w:p w14:paraId="6634102E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3. </w:t>
            </w:r>
            <w:r w:rsidRPr="004D3797">
              <w:rPr>
                <w:bCs/>
                <w:sz w:val="21"/>
                <w:szCs w:val="21"/>
              </w:rPr>
              <w:t>UX</w:t>
            </w:r>
            <w:r w:rsidRPr="004D3797">
              <w:rPr>
                <w:bCs/>
                <w:sz w:val="21"/>
                <w:szCs w:val="21"/>
                <w:lang w:val="ru-RU"/>
              </w:rPr>
              <w:t>/</w:t>
            </w:r>
            <w:r w:rsidRPr="004D3797">
              <w:rPr>
                <w:bCs/>
                <w:sz w:val="21"/>
                <w:szCs w:val="21"/>
              </w:rPr>
              <w:t>UI</w:t>
            </w:r>
            <w:r w:rsidRPr="004D3797">
              <w:rPr>
                <w:bCs/>
                <w:sz w:val="21"/>
                <w:szCs w:val="21"/>
                <w:lang w:val="ru-RU"/>
              </w:rPr>
              <w:t>-дизайнер (внешний специалист) — проектирование интерфейса.</w:t>
            </w:r>
          </w:p>
          <w:p w14:paraId="765D9750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4–5. По мере подтверждения спроса — </w:t>
            </w:r>
            <w:r w:rsidRPr="004D3797">
              <w:rPr>
                <w:bCs/>
                <w:sz w:val="21"/>
                <w:szCs w:val="21"/>
              </w:rPr>
              <w:t>community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manager</w:t>
            </w:r>
            <w:r w:rsidRPr="004D3797">
              <w:rPr>
                <w:bCs/>
                <w:sz w:val="21"/>
                <w:szCs w:val="21"/>
                <w:lang w:val="ru-RU"/>
              </w:rPr>
              <w:t>, маркетолог (</w:t>
            </w:r>
            <w:r w:rsidRPr="004D3797">
              <w:rPr>
                <w:bCs/>
                <w:sz w:val="21"/>
                <w:szCs w:val="21"/>
              </w:rPr>
              <w:t>growth</w:t>
            </w:r>
            <w:r w:rsidRPr="004D3797">
              <w:rPr>
                <w:bCs/>
                <w:sz w:val="21"/>
                <w:szCs w:val="21"/>
                <w:lang w:val="ru-RU"/>
              </w:rPr>
              <w:t>) и специалист по модерации и поддержке.</w:t>
            </w:r>
          </w:p>
          <w:p w14:paraId="7F82D9C3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Академическое сопровождение — научный руководитель Романченко О. В., к.н., доцент.</w:t>
            </w:r>
          </w:p>
        </w:tc>
      </w:tr>
      <w:tr w:rsidR="006C2C80" w:rsidRPr="004D3797" w14:paraId="623543FF" w14:textId="77777777" w:rsidTr="004D3797">
        <w:trPr>
          <w:jc w:val="center"/>
        </w:trPr>
        <w:tc>
          <w:tcPr>
            <w:tcW w:w="1818" w:type="dxa"/>
          </w:tcPr>
          <w:p w14:paraId="5979B406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Минимальные стартовые затраты стартап-проекта</w:t>
            </w:r>
          </w:p>
          <w:p w14:paraId="2CFC22BF" w14:textId="51023D36" w:rsidR="006C2C80" w:rsidRPr="004D3797" w:rsidRDefault="006C2C80" w:rsidP="004D3797">
            <w:pPr>
              <w:jc w:val="both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537" w:type="dxa"/>
          </w:tcPr>
          <w:p w14:paraId="5FCDC7AF" w14:textId="50B5AD9F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Общий объём стартовых инвестиций — 2 700 000 руб.; основные статьи: разработка </w:t>
            </w:r>
            <w:r w:rsidRPr="004D3797">
              <w:rPr>
                <w:bCs/>
                <w:sz w:val="21"/>
                <w:szCs w:val="21"/>
              </w:rPr>
              <w:t>MVP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(б</w:t>
            </w:r>
            <w:r w:rsidR="004D3797">
              <w:rPr>
                <w:bCs/>
                <w:sz w:val="21"/>
                <w:szCs w:val="21"/>
                <w:lang w:val="ru-RU"/>
              </w:rPr>
              <w:t>о</w:t>
            </w:r>
            <w:r w:rsidRPr="004D3797">
              <w:rPr>
                <w:bCs/>
                <w:sz w:val="21"/>
                <w:szCs w:val="21"/>
                <w:lang w:val="ru-RU"/>
              </w:rPr>
              <w:t>льшая часть) и маркетинг / привлечение первой аудитории.</w:t>
            </w:r>
          </w:p>
          <w:p w14:paraId="74727DA8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План доходов и расходов: монетизация по </w:t>
            </w:r>
            <w:r w:rsidRPr="004D3797">
              <w:rPr>
                <w:bCs/>
                <w:sz w:val="21"/>
                <w:szCs w:val="21"/>
              </w:rPr>
              <w:t>freemium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-модели (тарифы «Стандарт» 490 руб./мес. и </w:t>
            </w:r>
            <w:r w:rsidRPr="004D3797">
              <w:rPr>
                <w:bCs/>
                <w:sz w:val="21"/>
                <w:szCs w:val="21"/>
              </w:rPr>
              <w:t>Premium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990 руб./мес. + </w:t>
            </w:r>
            <w:r w:rsidRPr="004D3797">
              <w:rPr>
                <w:bCs/>
                <w:sz w:val="21"/>
                <w:szCs w:val="21"/>
              </w:rPr>
              <w:t>B</w:t>
            </w:r>
            <w:r w:rsidRPr="004D3797">
              <w:rPr>
                <w:bCs/>
                <w:sz w:val="21"/>
                <w:szCs w:val="21"/>
                <w:lang w:val="ru-RU"/>
              </w:rPr>
              <w:t>2</w:t>
            </w:r>
            <w:r w:rsidRPr="004D3797">
              <w:rPr>
                <w:bCs/>
                <w:sz w:val="21"/>
                <w:szCs w:val="21"/>
              </w:rPr>
              <w:t>B</w:t>
            </w:r>
            <w:r w:rsidRPr="004D3797">
              <w:rPr>
                <w:bCs/>
                <w:sz w:val="21"/>
                <w:szCs w:val="21"/>
                <w:lang w:val="ru-RU"/>
              </w:rPr>
              <w:t>-партнёрства); первые 6 месяцев — бесплатный период, с 7-го месяца — платные тарифы. Прогноз выручки: год 1 — 2 425 000 руб., год 2 — 16 638 000 руб., год 3 — 40 920 000 руб.; чистая прибыль года 3 — 28 264 800 руб.</w:t>
            </w:r>
          </w:p>
          <w:p w14:paraId="674B8440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План денежных потоков: год 1 — инвестиционная (убыточная) фаза; со 2-го года — положительный финансовый результат; накопленный чистый денежный поток за 3 года — 36 729 520 руб.</w:t>
            </w:r>
          </w:p>
          <w:p w14:paraId="571D6C95" w14:textId="64D28746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Финансовые метрики: </w:t>
            </w:r>
            <w:r w:rsidRPr="004D3797">
              <w:rPr>
                <w:bCs/>
                <w:sz w:val="21"/>
                <w:szCs w:val="21"/>
              </w:rPr>
              <w:t>NPV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= +19 376 710 руб.; </w:t>
            </w:r>
            <w:r w:rsidRPr="004D3797">
              <w:rPr>
                <w:bCs/>
                <w:sz w:val="21"/>
                <w:szCs w:val="21"/>
              </w:rPr>
              <w:t>IRR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≈ 153%; </w:t>
            </w:r>
            <w:r w:rsidRPr="004D3797">
              <w:rPr>
                <w:bCs/>
                <w:sz w:val="21"/>
                <w:szCs w:val="21"/>
              </w:rPr>
              <w:t>PI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= 8,18; срок окупаемости — 17 месяцев; точка безубыточности — 471 платящий пользователь в месяц.</w:t>
            </w:r>
          </w:p>
          <w:p w14:paraId="1EDB6819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Источники финансирования (</w:t>
            </w:r>
            <w:r w:rsidRPr="004D3797">
              <w:rPr>
                <w:bCs/>
                <w:sz w:val="21"/>
                <w:szCs w:val="21"/>
              </w:rPr>
              <w:t>stage</w:t>
            </w:r>
            <w:r w:rsidRPr="004D3797">
              <w:rPr>
                <w:bCs/>
                <w:sz w:val="21"/>
                <w:szCs w:val="21"/>
                <w:lang w:val="ru-RU"/>
              </w:rPr>
              <w:t>-</w:t>
            </w:r>
            <w:r w:rsidRPr="004D3797">
              <w:rPr>
                <w:bCs/>
                <w:sz w:val="21"/>
                <w:szCs w:val="21"/>
              </w:rPr>
              <w:t>gate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, минимизация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дилюции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): гранты ФСИ («Студенческий стартап», «Умник» — до 1 500 000 руб.), собственные средства (~300 000 руб.), партнёрская поддержка (~400 000 руб.) — первый контур ~81% потребности без потери доли; далее акселератор ФРИИ (7%), бизнес-ангелы, венчурные фонды ранних стадий.</w:t>
            </w:r>
          </w:p>
        </w:tc>
      </w:tr>
      <w:tr w:rsidR="006C2C80" w:rsidRPr="004D3797" w14:paraId="124A433E" w14:textId="77777777" w:rsidTr="004D3797">
        <w:trPr>
          <w:jc w:val="center"/>
        </w:trPr>
        <w:tc>
          <w:tcPr>
            <w:tcW w:w="1818" w:type="dxa"/>
          </w:tcPr>
          <w:p w14:paraId="307E8154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Перспективы коммерциализации стартапа</w:t>
            </w:r>
          </w:p>
          <w:p w14:paraId="00343861" w14:textId="5DF3168F" w:rsidR="006C2C80" w:rsidRPr="004D3797" w:rsidRDefault="006C2C80" w:rsidP="004D3797">
            <w:pPr>
              <w:jc w:val="both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537" w:type="dxa"/>
          </w:tcPr>
          <w:p w14:paraId="6E6391F0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1. Размер рынка:</w:t>
            </w:r>
          </w:p>
          <w:p w14:paraId="7CE2A6EF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PAM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— совокупный потенциальный рынок социальных и </w:t>
            </w:r>
            <w:r w:rsidRPr="004D3797">
              <w:rPr>
                <w:bCs/>
                <w:sz w:val="21"/>
                <w:szCs w:val="21"/>
              </w:rPr>
              <w:t>dating</w:t>
            </w:r>
            <w:r w:rsidRPr="004D3797">
              <w:rPr>
                <w:bCs/>
                <w:sz w:val="21"/>
                <w:szCs w:val="21"/>
                <w:lang w:val="ru-RU"/>
              </w:rPr>
              <w:t>-сервисов (пользователи смартфонов России) — свыше 100 млрд руб./год;</w:t>
            </w:r>
          </w:p>
          <w:p w14:paraId="1E2B2BEB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TAM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— рынок знакомств и социальных платформ России — 48–96 млрд руб./год;</w:t>
            </w:r>
          </w:p>
          <w:p w14:paraId="79408B0B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SAM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— активные пользователи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дейтинг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-приложений и сервисов социальных активностей в городах-миллионниках — 4,9 млрд руб./год;</w:t>
            </w:r>
          </w:p>
          <w:p w14:paraId="3C23196F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SOM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— достижимая доля </w:t>
            </w:r>
            <w:r w:rsidRPr="004D3797">
              <w:rPr>
                <w:bCs/>
                <w:sz w:val="21"/>
                <w:szCs w:val="21"/>
              </w:rPr>
              <w:t>Buddies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(Москва, ранние последователи) — 38–41 млн руб./год при 25 000 </w:t>
            </w:r>
            <w:r w:rsidRPr="004D3797">
              <w:rPr>
                <w:bCs/>
                <w:sz w:val="21"/>
                <w:szCs w:val="21"/>
              </w:rPr>
              <w:t>MAU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к 3-му году.</w:t>
            </w:r>
          </w:p>
          <w:p w14:paraId="29939B81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2. Тенденции и драйверы рынка: усталость аудитории от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свайпов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 и переписок; запрос на быстрый переход в офлайн; рост внимания к проблеме одиночества; перераспределение аудитории после ухода западных сервисов; развитие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Mini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Apps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и рекомендательных алгоритмов.</w:t>
            </w:r>
          </w:p>
          <w:p w14:paraId="1EC17816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3. Целевая аудитория по методике 5</w:t>
            </w:r>
            <w:r w:rsidRPr="004D3797">
              <w:rPr>
                <w:bCs/>
                <w:sz w:val="21"/>
                <w:szCs w:val="21"/>
              </w:rPr>
              <w:t>W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М. Шеррингтона:</w:t>
            </w:r>
          </w:p>
          <w:p w14:paraId="7F289DC2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What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(что) — формат знакомств и поиска компании «заявка на конкретную активность → встреча» без переписок;</w:t>
            </w:r>
          </w:p>
          <w:p w14:paraId="54391D67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Who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(кто) — мужчины и женщины 18–32 лет, активные пользователи мобильных сервисов с опытом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дейтинга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;</w:t>
            </w:r>
          </w:p>
          <w:p w14:paraId="2E29D0E9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Why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(почему) — усталость от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свайпов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, дефицит живого общения, тревожность перед первой встречей;</w:t>
            </w:r>
          </w:p>
          <w:p w14:paraId="154041FB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t>When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(когда) — когда нужна компания или знакомство «здесь и сейчас», в ближайшие часы;</w:t>
            </w:r>
          </w:p>
          <w:p w14:paraId="5D2FEAA9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</w:rPr>
              <w:lastRenderedPageBreak/>
              <w:t>Where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(где) —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Mini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App</w:t>
            </w:r>
            <w:r w:rsidRPr="004D3797">
              <w:rPr>
                <w:bCs/>
                <w:sz w:val="21"/>
                <w:szCs w:val="21"/>
                <w:lang w:val="ru-RU"/>
              </w:rPr>
              <w:t>, крупные города России (старт — Москва).</w:t>
            </w:r>
          </w:p>
        </w:tc>
      </w:tr>
      <w:tr w:rsidR="006C2C80" w:rsidRPr="004D3797" w14:paraId="41F5CBAB" w14:textId="77777777" w:rsidTr="004D3797">
        <w:trPr>
          <w:jc w:val="center"/>
        </w:trPr>
        <w:tc>
          <w:tcPr>
            <w:tcW w:w="1818" w:type="dxa"/>
          </w:tcPr>
          <w:p w14:paraId="46025FF0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lastRenderedPageBreak/>
              <w:t xml:space="preserve">Технологичность и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наукоёмкость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 стартап-проекта</w:t>
            </w:r>
          </w:p>
          <w:p w14:paraId="64275FCA" w14:textId="51B552E6" w:rsidR="006C2C80" w:rsidRPr="004D3797" w:rsidRDefault="006C2C80" w:rsidP="004D3797">
            <w:pPr>
              <w:jc w:val="both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537" w:type="dxa"/>
          </w:tcPr>
          <w:p w14:paraId="5592ADE9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1. Классификация технологии: технологии искусственного интеллекта в отраслях экономики и социальной сферы, системы обработки больших данных и машинное обучение — приоритетные направления НТР и важнейшие наукоёмкие технологии согласно Указу Президента РФ от 18.06.2024 № 529; относится к сквозным цифровым технологиям.</w:t>
            </w:r>
          </w:p>
          <w:p w14:paraId="7726A233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2. Уровень готовности технологии (</w:t>
            </w:r>
            <w:r w:rsidRPr="004D3797">
              <w:rPr>
                <w:bCs/>
                <w:sz w:val="21"/>
                <w:szCs w:val="21"/>
              </w:rPr>
              <w:t>TRL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) — 3–4: концепция и основные принципы сформулированы, проведены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кастдев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-интервью, </w:t>
            </w:r>
            <w:r w:rsidRPr="004D3797">
              <w:rPr>
                <w:bCs/>
                <w:sz w:val="21"/>
                <w:szCs w:val="21"/>
              </w:rPr>
              <w:t>MVP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в разработке (</w:t>
            </w:r>
            <w:r w:rsidRPr="004D3797">
              <w:rPr>
                <w:bCs/>
                <w:sz w:val="21"/>
                <w:szCs w:val="21"/>
              </w:rPr>
              <w:t>CRL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— 4, </w:t>
            </w:r>
            <w:r w:rsidRPr="004D3797">
              <w:rPr>
                <w:bCs/>
                <w:sz w:val="21"/>
                <w:szCs w:val="21"/>
              </w:rPr>
              <w:t>MRL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— 3–4).</w:t>
            </w:r>
          </w:p>
          <w:p w14:paraId="20298793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3. Критические элементы технологии: рекомендательные алгоритмы подбора заявок и откликов; логика «заявка – отклик –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мэтч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»; архитектура данных (пользователи, заявки, отклики,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мэтчи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); аутентификация через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4D3797">
              <w:rPr>
                <w:bCs/>
                <w:sz w:val="21"/>
                <w:szCs w:val="21"/>
              </w:rPr>
              <w:t>initData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 с проверкой подписи на сервере; доставка уведомлений через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-бота. </w:t>
            </w:r>
            <w:r w:rsidRPr="004D3797">
              <w:rPr>
                <w:bCs/>
                <w:sz w:val="21"/>
                <w:szCs w:val="21"/>
              </w:rPr>
              <w:t>Стек: React/Vite, Node.js/Express (или Python/FastAPI), PostgreSQL, telegraf.js/aiogram.</w:t>
            </w:r>
          </w:p>
          <w:p w14:paraId="7442CE6B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4. Концепция продукта и решаемой проблемы: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Mini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</w:t>
            </w:r>
            <w:r w:rsidRPr="004D3797">
              <w:rPr>
                <w:bCs/>
                <w:sz w:val="21"/>
                <w:szCs w:val="21"/>
              </w:rPr>
              <w:t>App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, заменяющий модель «анкета –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свайп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 – переписка» на короткий путь «заявка – отклик –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мэтч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 – встреча»; решает проблему низкой конверсии онлайн-интереса в реальную встречу.</w:t>
            </w:r>
          </w:p>
        </w:tc>
      </w:tr>
      <w:tr w:rsidR="006C2C80" w:rsidRPr="004D3797" w14:paraId="128299BD" w14:textId="77777777" w:rsidTr="004D3797">
        <w:trPr>
          <w:jc w:val="center"/>
        </w:trPr>
        <w:tc>
          <w:tcPr>
            <w:tcW w:w="1818" w:type="dxa"/>
          </w:tcPr>
          <w:p w14:paraId="0D932F13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Наличие потенциала развития стартап-проекта</w:t>
            </w:r>
          </w:p>
          <w:p w14:paraId="6281981C" w14:textId="343A316C" w:rsidR="006C2C80" w:rsidRPr="004D3797" w:rsidRDefault="006C2C80" w:rsidP="004D3797">
            <w:pPr>
              <w:jc w:val="both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537" w:type="dxa"/>
          </w:tcPr>
          <w:p w14:paraId="20B54A75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1. Уникальное торговое предложение: возможность найти человека для реальной офлайн-встречи в течение 2–4 часов по конкретной активности, без длительной предварительной переписки; формат «здесь и сейчас» на инфраструктуре </w:t>
            </w:r>
            <w:r w:rsidRPr="004D3797">
              <w:rPr>
                <w:bCs/>
                <w:sz w:val="21"/>
                <w:szCs w:val="21"/>
              </w:rPr>
              <w:t>Telegram</w:t>
            </w:r>
            <w:r w:rsidRPr="004D3797">
              <w:rPr>
                <w:bCs/>
                <w:sz w:val="21"/>
                <w:szCs w:val="21"/>
                <w:lang w:val="ru-RU"/>
              </w:rPr>
              <w:t>.</w:t>
            </w:r>
          </w:p>
          <w:p w14:paraId="65F62DA3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2. Основные конкуренты:</w:t>
            </w:r>
          </w:p>
          <w:p w14:paraId="3041BCD4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Прямые — </w:t>
            </w:r>
            <w:r w:rsidRPr="004D3797">
              <w:rPr>
                <w:bCs/>
                <w:sz w:val="21"/>
                <w:szCs w:val="21"/>
              </w:rPr>
              <w:t>Tinder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, </w:t>
            </w:r>
            <w:r w:rsidRPr="004D3797">
              <w:rPr>
                <w:bCs/>
                <w:sz w:val="21"/>
                <w:szCs w:val="21"/>
              </w:rPr>
              <w:t>Bumble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, </w:t>
            </w:r>
            <w:r w:rsidRPr="004D3797">
              <w:rPr>
                <w:bCs/>
                <w:sz w:val="21"/>
                <w:szCs w:val="21"/>
              </w:rPr>
              <w:t>Hinge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4D3797">
              <w:rPr>
                <w:bCs/>
                <w:sz w:val="21"/>
                <w:szCs w:val="21"/>
              </w:rPr>
              <w:t>Twinby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. Сильные стороны: большая аудитория, узнаваемость, отлаженные механики. Слабые: длинные переписки, низкая конверсия во встречу, усталость от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свайпов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, иллюзия выбора.</w:t>
            </w:r>
          </w:p>
          <w:p w14:paraId="64F5D918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Косвенные — </w:t>
            </w:r>
            <w:proofErr w:type="spellStart"/>
            <w:r w:rsidRPr="004D3797">
              <w:rPr>
                <w:bCs/>
                <w:sz w:val="21"/>
                <w:szCs w:val="21"/>
              </w:rPr>
              <w:t>Timeleft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, </w:t>
            </w:r>
            <w:r w:rsidRPr="004D3797">
              <w:rPr>
                <w:bCs/>
                <w:sz w:val="21"/>
                <w:szCs w:val="21"/>
              </w:rPr>
              <w:t>Thursday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(офлайн-встречи), </w:t>
            </w:r>
            <w:r w:rsidRPr="004D3797">
              <w:rPr>
                <w:bCs/>
                <w:sz w:val="21"/>
                <w:szCs w:val="21"/>
              </w:rPr>
              <w:t>Meetup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(мероприятия по интересам). Сильные стороны: офлайн-форматы, сообщество. Слабые: отсутствие персонального подбора под конкретную активность, привязка к расписанию событий.</w:t>
            </w:r>
          </w:p>
          <w:p w14:paraId="469663E1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Ни один аналог не закрывает одновременно три потребности: встреча сегодня, отсутствие переписок и поиск человека под конкретную активность — это и есть свободная ниша </w:t>
            </w:r>
            <w:r w:rsidRPr="004D3797">
              <w:rPr>
                <w:bCs/>
                <w:sz w:val="21"/>
                <w:szCs w:val="21"/>
              </w:rPr>
              <w:t>Buddies</w:t>
            </w:r>
            <w:r w:rsidRPr="004D3797">
              <w:rPr>
                <w:bCs/>
                <w:sz w:val="21"/>
                <w:szCs w:val="21"/>
                <w:lang w:val="ru-RU"/>
              </w:rPr>
              <w:t>.</w:t>
            </w:r>
          </w:p>
        </w:tc>
      </w:tr>
      <w:tr w:rsidR="006C2C80" w:rsidRPr="004D3797" w14:paraId="11391E04" w14:textId="77777777" w:rsidTr="004D3797">
        <w:trPr>
          <w:jc w:val="center"/>
        </w:trPr>
        <w:tc>
          <w:tcPr>
            <w:tcW w:w="1818" w:type="dxa"/>
          </w:tcPr>
          <w:p w14:paraId="3750A9D3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Быстрый рост стартап-проекта</w:t>
            </w:r>
          </w:p>
          <w:p w14:paraId="2C8FC60A" w14:textId="3786DD58" w:rsidR="006C2C80" w:rsidRPr="004D3797" w:rsidRDefault="006C2C80" w:rsidP="004D3797">
            <w:pPr>
              <w:jc w:val="both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537" w:type="dxa"/>
          </w:tcPr>
          <w:p w14:paraId="22AD44ED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Дорожная карта включает:</w:t>
            </w:r>
          </w:p>
          <w:p w14:paraId="6C3A0306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>1. Ключевые этапы:</w:t>
            </w:r>
          </w:p>
          <w:p w14:paraId="0892EF99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Достигнуто: валидирована концепция, проведено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кастдев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>-исследование, протестирован прототип (</w:t>
            </w:r>
            <w:r w:rsidRPr="004D3797">
              <w:rPr>
                <w:bCs/>
                <w:sz w:val="21"/>
                <w:szCs w:val="21"/>
              </w:rPr>
              <w:t>NPS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40, пять гипотез подтверждены), сформировано ТЗ на </w:t>
            </w:r>
            <w:r w:rsidRPr="004D3797">
              <w:rPr>
                <w:bCs/>
                <w:sz w:val="21"/>
                <w:szCs w:val="21"/>
              </w:rPr>
              <w:t>MVP</w:t>
            </w:r>
            <w:r w:rsidRPr="004D3797">
              <w:rPr>
                <w:bCs/>
                <w:sz w:val="21"/>
                <w:szCs w:val="21"/>
                <w:lang w:val="ru-RU"/>
              </w:rPr>
              <w:t>, разработана финансовая модель, спроектированы макеты интерфейса.</w:t>
            </w:r>
          </w:p>
          <w:p w14:paraId="07FE8226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Планируется: завершение </w:t>
            </w:r>
            <w:r w:rsidRPr="004D3797">
              <w:rPr>
                <w:bCs/>
                <w:sz w:val="21"/>
                <w:szCs w:val="21"/>
              </w:rPr>
              <w:t>MVP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→ запуск в Москве и первый комьюнити-пилот → подтверждение метрик активности → подключение платных тарифов → выход в Санкт-Петербург и Екатеринбург → масштабирование на 5–7 городов-миллионников, рекомендательная система, групповые встречи, </w:t>
            </w:r>
            <w:r w:rsidRPr="004D3797">
              <w:rPr>
                <w:bCs/>
                <w:sz w:val="21"/>
                <w:szCs w:val="21"/>
              </w:rPr>
              <w:t>B</w:t>
            </w:r>
            <w:r w:rsidRPr="004D3797">
              <w:rPr>
                <w:bCs/>
                <w:sz w:val="21"/>
                <w:szCs w:val="21"/>
                <w:lang w:val="ru-RU"/>
              </w:rPr>
              <w:t>2</w:t>
            </w:r>
            <w:r w:rsidRPr="004D3797">
              <w:rPr>
                <w:bCs/>
                <w:sz w:val="21"/>
                <w:szCs w:val="21"/>
              </w:rPr>
              <w:t>B</w:t>
            </w:r>
            <w:r w:rsidRPr="004D3797">
              <w:rPr>
                <w:bCs/>
                <w:sz w:val="21"/>
                <w:szCs w:val="21"/>
                <w:lang w:val="ru-RU"/>
              </w:rPr>
              <w:t>-направление.</w:t>
            </w:r>
          </w:p>
          <w:p w14:paraId="49D39CCF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2. Временные рамки: месяцы 0–4 — </w:t>
            </w:r>
            <w:proofErr w:type="spellStart"/>
            <w:r w:rsidRPr="004D3797">
              <w:rPr>
                <w:bCs/>
                <w:sz w:val="21"/>
                <w:szCs w:val="21"/>
                <w:lang w:val="ru-RU"/>
              </w:rPr>
              <w:t>бутстрап</w:t>
            </w:r>
            <w:proofErr w:type="spellEnd"/>
            <w:r w:rsidRPr="004D3797">
              <w:rPr>
                <w:bCs/>
                <w:sz w:val="21"/>
                <w:szCs w:val="21"/>
                <w:lang w:val="ru-RU"/>
              </w:rPr>
              <w:t xml:space="preserve"> и гранты, запуск </w:t>
            </w:r>
            <w:r w:rsidRPr="004D3797">
              <w:rPr>
                <w:bCs/>
                <w:sz w:val="21"/>
                <w:szCs w:val="21"/>
              </w:rPr>
              <w:t>MVP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; месяцы 2–5 — акселератор / пилот; месяцы 8–14 — первая выручка и бизнес-ангел; месяцы 18–30 — </w:t>
            </w:r>
            <w:r w:rsidRPr="004D3797">
              <w:rPr>
                <w:bCs/>
                <w:sz w:val="21"/>
                <w:szCs w:val="21"/>
              </w:rPr>
              <w:t>pre</w:t>
            </w:r>
            <w:r w:rsidRPr="004D3797">
              <w:rPr>
                <w:bCs/>
                <w:sz w:val="21"/>
                <w:szCs w:val="21"/>
                <w:lang w:val="ru-RU"/>
              </w:rPr>
              <w:t>-</w:t>
            </w:r>
            <w:r w:rsidRPr="004D3797">
              <w:rPr>
                <w:bCs/>
                <w:sz w:val="21"/>
                <w:szCs w:val="21"/>
              </w:rPr>
              <w:t>seed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раунд и масштабирование.</w:t>
            </w:r>
          </w:p>
          <w:p w14:paraId="56338318" w14:textId="77777777" w:rsidR="006C2C80" w:rsidRPr="004D3797" w:rsidRDefault="00000000" w:rsidP="004D3797">
            <w:pPr>
              <w:spacing w:after="40"/>
              <w:jc w:val="both"/>
              <w:rPr>
                <w:bCs/>
                <w:sz w:val="21"/>
                <w:szCs w:val="21"/>
                <w:lang w:val="ru-RU"/>
              </w:rPr>
            </w:pPr>
            <w:r w:rsidRPr="004D3797">
              <w:rPr>
                <w:bCs/>
                <w:sz w:val="21"/>
                <w:szCs w:val="21"/>
                <w:lang w:val="ru-RU"/>
              </w:rPr>
              <w:t xml:space="preserve">3. Ожидаемые результаты по этапам: запуск </w:t>
            </w:r>
            <w:r w:rsidRPr="004D3797">
              <w:rPr>
                <w:bCs/>
                <w:sz w:val="21"/>
                <w:szCs w:val="21"/>
              </w:rPr>
              <w:t>MVP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и первые 200 </w:t>
            </w:r>
            <w:r w:rsidRPr="004D3797">
              <w:rPr>
                <w:bCs/>
                <w:sz w:val="21"/>
                <w:szCs w:val="21"/>
              </w:rPr>
              <w:t>MAU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при </w:t>
            </w:r>
            <w:r w:rsidRPr="004D3797">
              <w:rPr>
                <w:bCs/>
                <w:sz w:val="21"/>
                <w:szCs w:val="21"/>
              </w:rPr>
              <w:t>NPS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≥ 40; </w:t>
            </w:r>
            <w:r w:rsidRPr="004D3797">
              <w:rPr>
                <w:bCs/>
                <w:sz w:val="21"/>
                <w:szCs w:val="21"/>
              </w:rPr>
              <w:t>MAU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500+ и конверсия в заявки ≥ 30%; </w:t>
            </w:r>
            <w:r w:rsidRPr="004D3797">
              <w:rPr>
                <w:bCs/>
                <w:sz w:val="21"/>
                <w:szCs w:val="21"/>
              </w:rPr>
              <w:t>MAU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1 000+ и первая выручка; </w:t>
            </w:r>
            <w:r w:rsidRPr="004D3797">
              <w:rPr>
                <w:bCs/>
                <w:sz w:val="21"/>
                <w:szCs w:val="21"/>
              </w:rPr>
              <w:t>MAU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3 000+, положительный </w:t>
            </w:r>
            <w:r w:rsidRPr="004D3797">
              <w:rPr>
                <w:bCs/>
                <w:sz w:val="21"/>
                <w:szCs w:val="21"/>
              </w:rPr>
              <w:t>NPV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, рост </w:t>
            </w:r>
            <w:r w:rsidRPr="004D3797">
              <w:rPr>
                <w:bCs/>
                <w:sz w:val="21"/>
                <w:szCs w:val="21"/>
              </w:rPr>
              <w:t>MoM</w:t>
            </w:r>
            <w:r w:rsidRPr="004D3797">
              <w:rPr>
                <w:bCs/>
                <w:sz w:val="21"/>
                <w:szCs w:val="21"/>
                <w:lang w:val="ru-RU"/>
              </w:rPr>
              <w:t xml:space="preserve"> ≥ 15% и присутствие в нескольких городах.</w:t>
            </w:r>
          </w:p>
        </w:tc>
      </w:tr>
    </w:tbl>
    <w:p w14:paraId="57414150" w14:textId="77777777" w:rsidR="00B01957" w:rsidRPr="004D3797" w:rsidRDefault="00B01957">
      <w:pPr>
        <w:rPr>
          <w:lang w:val="ru-RU"/>
        </w:rPr>
      </w:pPr>
    </w:p>
    <w:sectPr w:rsidR="00B01957" w:rsidRPr="004D3797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451854">
    <w:abstractNumId w:val="8"/>
  </w:num>
  <w:num w:numId="2" w16cid:durableId="65692565">
    <w:abstractNumId w:val="6"/>
  </w:num>
  <w:num w:numId="3" w16cid:durableId="1998875999">
    <w:abstractNumId w:val="5"/>
  </w:num>
  <w:num w:numId="4" w16cid:durableId="813596292">
    <w:abstractNumId w:val="4"/>
  </w:num>
  <w:num w:numId="5" w16cid:durableId="1213690205">
    <w:abstractNumId w:val="7"/>
  </w:num>
  <w:num w:numId="6" w16cid:durableId="188416682">
    <w:abstractNumId w:val="3"/>
  </w:num>
  <w:num w:numId="7" w16cid:durableId="1916011163">
    <w:abstractNumId w:val="2"/>
  </w:num>
  <w:num w:numId="8" w16cid:durableId="2028948964">
    <w:abstractNumId w:val="1"/>
  </w:num>
  <w:num w:numId="9" w16cid:durableId="126499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4E25"/>
    <w:rsid w:val="00326F90"/>
    <w:rsid w:val="004D3797"/>
    <w:rsid w:val="006C2C80"/>
    <w:rsid w:val="00AA1D8D"/>
    <w:rsid w:val="00B0195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10BB9"/>
  <w14:defaultImageDpi w14:val="300"/>
  <w15:docId w15:val="{91584458-1C01-B747-9F48-4571319D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2026-06-11T12:22:00Z</dcterms:modified>
  <cp:category/>
</cp:coreProperties>
</file>