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47A4" w14:textId="47F4BF28" w:rsidR="00A104EF" w:rsidRPr="00B84A79" w:rsidRDefault="00000000" w:rsidP="00B84A79">
      <w:pPr>
        <w:spacing w:after="240" w:line="240" w:lineRule="auto"/>
        <w:jc w:val="center"/>
        <w:rPr>
          <w:b/>
          <w:lang w:val="ru-RU"/>
        </w:rPr>
      </w:pPr>
      <w:r w:rsidRPr="00A104EF">
        <w:rPr>
          <w:b/>
          <w:lang w:val="ru-RU"/>
        </w:rPr>
        <w:t>Паспорт стартап-проекта «</w:t>
      </w:r>
      <w:proofErr w:type="spellStart"/>
      <w:r w:rsidRPr="00A104EF">
        <w:rPr>
          <w:b/>
          <w:lang w:val="ru-RU"/>
        </w:rPr>
        <w:t>АкваГроу</w:t>
      </w:r>
      <w:proofErr w:type="spellEnd"/>
      <w:r w:rsidRPr="00A104EF">
        <w:rPr>
          <w:b/>
          <w:lang w:val="ru-RU"/>
        </w:rPr>
        <w:t>»</w:t>
      </w:r>
      <w:r w:rsidRPr="00A104EF">
        <w:rPr>
          <w:b/>
          <w:lang w:val="ru-RU"/>
        </w:rPr>
        <w:br/>
        <w:t>для прохождения отборочной экспертизы стартап-проекта и темы ВКРС</w:t>
      </w: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082"/>
        <w:gridCol w:w="5557"/>
      </w:tblGrid>
      <w:tr w:rsidR="001A16FC" w:rsidRPr="00A104EF" w14:paraId="7291CDDB" w14:textId="77777777" w:rsidTr="00A104EF">
        <w:trPr>
          <w:jc w:val="center"/>
        </w:trPr>
        <w:tc>
          <w:tcPr>
            <w:tcW w:w="4082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18B7A1" w14:textId="77777777" w:rsidR="001A16FC" w:rsidRPr="00A104EF" w:rsidRDefault="00000000" w:rsidP="00A104EF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Число участников стартап-проекта и их компетенции (не более пяти человек)</w:t>
            </w:r>
          </w:p>
          <w:p w14:paraId="5D498C7B" w14:textId="77777777" w:rsidR="001A16FC" w:rsidRPr="00A104EF" w:rsidRDefault="00000000" w:rsidP="00A104EF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 w:rsidRPr="00A104EF">
              <w:rPr>
                <w:i/>
                <w:sz w:val="24"/>
                <w:lang w:val="ru-RU"/>
              </w:rPr>
              <w:t>Оценивается укомплектованность команды и наличие опыта участников в реализации технологических и инновационных проектов</w:t>
            </w:r>
          </w:p>
        </w:tc>
        <w:tc>
          <w:tcPr>
            <w:tcW w:w="5556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800B" w14:textId="1F901305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1. Гредина Ксения Эдуардовна, автор проекта малого предприятия «</w:t>
            </w:r>
            <w:proofErr w:type="spellStart"/>
            <w:r w:rsidRPr="00A104EF">
              <w:rPr>
                <w:sz w:val="24"/>
                <w:lang w:val="ru-RU"/>
              </w:rPr>
              <w:t>АкваГроу</w:t>
            </w:r>
            <w:proofErr w:type="spellEnd"/>
            <w:r w:rsidRPr="00A104EF">
              <w:rPr>
                <w:sz w:val="24"/>
                <w:lang w:val="ru-RU"/>
              </w:rPr>
              <w:t>». Участник отвечает за разработку бизнес-модели, анализ рынка, финансовое планирование, организацию закупок, продаж и обратной связи с потребителями, а также за координацию внешних исполнителей.</w:t>
            </w:r>
          </w:p>
          <w:p w14:paraId="64177289" w14:textId="75367A35" w:rsidR="001A16FC" w:rsidRPr="00A104EF" w:rsidRDefault="001A16FC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</w:p>
        </w:tc>
      </w:tr>
      <w:tr w:rsidR="001A16FC" w:rsidRPr="00A104EF" w14:paraId="0CDCE793" w14:textId="77777777" w:rsidTr="00A104EF">
        <w:trPr>
          <w:jc w:val="center"/>
        </w:trPr>
        <w:tc>
          <w:tcPr>
            <w:tcW w:w="4082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932D76" w14:textId="77777777" w:rsidR="001A16FC" w:rsidRPr="00A104EF" w:rsidRDefault="00000000" w:rsidP="00A104EF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Минимальные стартовые затраты стартап-проекта</w:t>
            </w:r>
          </w:p>
          <w:p w14:paraId="4F43FF14" w14:textId="77777777" w:rsidR="001A16FC" w:rsidRPr="00A104EF" w:rsidRDefault="00000000" w:rsidP="00A104EF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 w:rsidRPr="00A104EF">
              <w:rPr>
                <w:i/>
                <w:sz w:val="24"/>
                <w:lang w:val="ru-RU"/>
              </w:rPr>
              <w:t>Оценивается проведенный финансовый анализ по стартовой реализации продукта</w:t>
            </w:r>
          </w:p>
        </w:tc>
        <w:tc>
          <w:tcPr>
            <w:tcW w:w="5556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9D7BBA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Минимальные стартовые вложения в проект составляют 370 000 руб. Источником финансирования выступают собственные средства автора. Заемные средства и внешние инвестиции на этапе запуска не привлекаются.</w:t>
            </w:r>
          </w:p>
          <w:p w14:paraId="7AA08A20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Структура стартовых вложений:</w:t>
            </w:r>
          </w:p>
          <w:p w14:paraId="7BDFDBB1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1. Оборудование, комплектующие и материалы для подготовки первой партии устройств. 255 000 руб.</w:t>
            </w:r>
          </w:p>
          <w:p w14:paraId="55FC0F0F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2. Разработка программного обеспечения, дизайн интерфейса и фирменных материалов. 115 000 руб.</w:t>
            </w:r>
          </w:p>
          <w:p w14:paraId="41DA92BB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Плановая цена одного устройства составляет 3 500 руб. План продаж на 2027 год составляет 394 устройства, на 2028 год 1164 устройства. Плановая выручка составляет 1 379 000 руб. в 2027 году и 4 074 000 руб. в 2028 году.</w:t>
            </w:r>
          </w:p>
          <w:p w14:paraId="793BF96E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Точка безубыточности составляет около 9 устройств в месяц, или 35 164 руб. выручки. Окупаемость стартовых вложений ожидается на седьмом месяце продаж. План денежных потоков строится с учетом ежемесячной закупки комплектующих, аренды помещения, упаковки, доставки, продвижения и оплаты внешних исполнителей.</w:t>
            </w:r>
          </w:p>
        </w:tc>
      </w:tr>
      <w:tr w:rsidR="001A16FC" w:rsidRPr="00A104EF" w14:paraId="66C39076" w14:textId="77777777" w:rsidTr="00A104EF">
        <w:trPr>
          <w:jc w:val="center"/>
        </w:trPr>
        <w:tc>
          <w:tcPr>
            <w:tcW w:w="4082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ACBA90" w14:textId="77777777" w:rsidR="001A16FC" w:rsidRPr="00A104EF" w:rsidRDefault="00000000" w:rsidP="00A104EF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Перспективы коммерциализации стартапа</w:t>
            </w:r>
          </w:p>
          <w:p w14:paraId="2A7DD6B8" w14:textId="77777777" w:rsidR="001A16FC" w:rsidRPr="00A104EF" w:rsidRDefault="00000000" w:rsidP="00A104EF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 w:rsidRPr="00A104EF">
              <w:rPr>
                <w:i/>
                <w:sz w:val="24"/>
                <w:lang w:val="ru-RU"/>
              </w:rPr>
              <w:t>Оценивается соответствие и реалистичность выбранных потенциальных рынков, сегментов рынка и потенциальных потребителей</w:t>
            </w:r>
          </w:p>
        </w:tc>
        <w:tc>
          <w:tcPr>
            <w:tcW w:w="5556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A3115C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1. Размер рынка.</w:t>
            </w:r>
          </w:p>
          <w:p w14:paraId="62DDB8F5" w14:textId="46514F48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sz w:val="24"/>
              </w:rPr>
              <w:t>PAM</w:t>
            </w:r>
            <w:r w:rsidR="00A104EF">
              <w:rPr>
                <w:sz w:val="24"/>
                <w:lang w:val="ru-RU"/>
              </w:rPr>
              <w:t xml:space="preserve">. Широкий рынок </w:t>
            </w:r>
            <w:r w:rsidRPr="00A104EF">
              <w:rPr>
                <w:sz w:val="24"/>
                <w:lang w:val="ru-RU"/>
              </w:rPr>
              <w:t>включает российских потребителей товаров для комнатного озеленения и ухода за домашними растениями.</w:t>
            </w:r>
            <w:r w:rsidR="00A104EF">
              <w:rPr>
                <w:sz w:val="24"/>
                <w:lang w:val="ru-RU"/>
              </w:rPr>
              <w:t xml:space="preserve"> (примерно 120 </w:t>
            </w:r>
            <w:proofErr w:type="spellStart"/>
            <w:proofErr w:type="gramStart"/>
            <w:r w:rsidR="00A104EF">
              <w:rPr>
                <w:sz w:val="24"/>
                <w:lang w:val="ru-RU"/>
              </w:rPr>
              <w:t>млрд.руб</w:t>
            </w:r>
            <w:proofErr w:type="spellEnd"/>
            <w:proofErr w:type="gramEnd"/>
            <w:r w:rsidR="00A104EF">
              <w:rPr>
                <w:sz w:val="24"/>
                <w:lang w:val="ru-RU"/>
              </w:rPr>
              <w:t>)</w:t>
            </w:r>
          </w:p>
          <w:p w14:paraId="6F0D743B" w14:textId="1DA3788A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sz w:val="24"/>
              </w:rPr>
              <w:t>TAM</w:t>
            </w:r>
            <w:r w:rsidR="00A104EF">
              <w:rPr>
                <w:sz w:val="24"/>
                <w:lang w:val="ru-RU"/>
              </w:rPr>
              <w:t>. Б</w:t>
            </w:r>
            <w:r w:rsidRPr="00A104EF">
              <w:rPr>
                <w:sz w:val="24"/>
                <w:lang w:val="ru-RU"/>
              </w:rPr>
              <w:t xml:space="preserve">азовым рынком для проекта выбран российский рынок систем умного дома, поскольку продукт относится к потребительским </w:t>
            </w:r>
            <w:r>
              <w:rPr>
                <w:sz w:val="24"/>
              </w:rPr>
              <w:t>IoT</w:t>
            </w:r>
            <w:r w:rsidRPr="00A104EF">
              <w:rPr>
                <w:sz w:val="24"/>
                <w:lang w:val="ru-RU"/>
              </w:rPr>
              <w:t>-устройствам</w:t>
            </w:r>
            <w:r w:rsidR="00A104EF">
              <w:rPr>
                <w:sz w:val="24"/>
                <w:lang w:val="ru-RU"/>
              </w:rPr>
              <w:t xml:space="preserve"> (емкость 26 млрд руб.)</w:t>
            </w:r>
          </w:p>
          <w:p w14:paraId="7230E47B" w14:textId="402959A8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sz w:val="24"/>
              </w:rPr>
              <w:t>SAM</w:t>
            </w:r>
            <w:r w:rsidR="00A104EF">
              <w:rPr>
                <w:sz w:val="24"/>
                <w:lang w:val="ru-RU"/>
              </w:rPr>
              <w:t>. Д</w:t>
            </w:r>
            <w:r w:rsidRPr="00A104EF">
              <w:rPr>
                <w:sz w:val="24"/>
                <w:lang w:val="ru-RU"/>
              </w:rPr>
              <w:t xml:space="preserve">оступный для проекта сегмент составляют устройства для автоматического ухода за </w:t>
            </w:r>
            <w:r w:rsidRPr="00A104EF">
              <w:rPr>
                <w:sz w:val="24"/>
                <w:lang w:val="ru-RU"/>
              </w:rPr>
              <w:lastRenderedPageBreak/>
              <w:t xml:space="preserve">комнатными растениями. Его расчетная емкость оценивается автором в диапазоне </w:t>
            </w:r>
            <w:r w:rsidR="00A104EF">
              <w:rPr>
                <w:sz w:val="24"/>
                <w:lang w:val="ru-RU"/>
              </w:rPr>
              <w:t>3,2 млрд</w:t>
            </w:r>
            <w:r w:rsidRPr="00A104EF">
              <w:rPr>
                <w:sz w:val="24"/>
                <w:lang w:val="ru-RU"/>
              </w:rPr>
              <w:t xml:space="preserve">. </w:t>
            </w:r>
            <w:r w:rsidR="00A104EF">
              <w:rPr>
                <w:sz w:val="24"/>
                <w:lang w:val="ru-RU"/>
              </w:rPr>
              <w:t>руб</w:t>
            </w:r>
            <w:r w:rsidRPr="00A104EF">
              <w:rPr>
                <w:sz w:val="24"/>
                <w:lang w:val="ru-RU"/>
              </w:rPr>
              <w:t>.</w:t>
            </w:r>
          </w:p>
          <w:p w14:paraId="58BA35D9" w14:textId="4B27BE83" w:rsidR="001A16FC" w:rsidRDefault="00000000" w:rsidP="00A104EF">
            <w:pPr>
              <w:shd w:val="clear" w:color="auto" w:fill="FFFFFF" w:themeFill="background1"/>
              <w:spacing w:after="80"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>SOM</w:t>
            </w:r>
            <w:r w:rsidRPr="00A104EF">
              <w:rPr>
                <w:sz w:val="24"/>
                <w:lang w:val="ru-RU"/>
              </w:rPr>
              <w:t>. Реалистично достижим</w:t>
            </w:r>
            <w:r w:rsidR="00A104EF">
              <w:rPr>
                <w:sz w:val="24"/>
                <w:lang w:val="ru-RU"/>
              </w:rPr>
              <w:t>ый объем рынка умных горшков с автополивом можно оценить как 5-8 млн руб</w:t>
            </w:r>
            <w:r w:rsidRPr="00A104EF">
              <w:rPr>
                <w:sz w:val="24"/>
                <w:lang w:val="ru-RU"/>
              </w:rPr>
              <w:t>.</w:t>
            </w:r>
          </w:p>
          <w:p w14:paraId="644A0342" w14:textId="77777777" w:rsidR="00A104EF" w:rsidRPr="00A104EF" w:rsidRDefault="00A104EF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</w:p>
          <w:p w14:paraId="7AB0A6B6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2. Тенденции и драйверы рынка.</w:t>
            </w:r>
          </w:p>
          <w:p w14:paraId="65F88EFF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Коммерциализация проекта опирается на рост интереса к умному дому, распространение мобильных приложений для бытовых устройств, развитие маркетплейсов и устойчивый интерес городских жителей к озеленению жилых и рабочих помещений. Дополнительный драйвер связан с занятостью потребителей, командировками и трудностью регулярного ухода за растениями.</w:t>
            </w:r>
          </w:p>
          <w:p w14:paraId="638299D5" w14:textId="77777777" w:rsidR="00B84A79" w:rsidRDefault="00B84A79" w:rsidP="00A104EF">
            <w:pPr>
              <w:shd w:val="clear" w:color="auto" w:fill="FFFFFF" w:themeFill="background1"/>
              <w:spacing w:after="80" w:line="240" w:lineRule="auto"/>
              <w:rPr>
                <w:sz w:val="24"/>
                <w:lang w:val="ru-RU"/>
              </w:rPr>
            </w:pPr>
          </w:p>
          <w:p w14:paraId="0B92C8A6" w14:textId="553B6AF2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3. Целевая аудитория по методике Марка Шеррингтона «5</w:t>
            </w:r>
            <w:r>
              <w:rPr>
                <w:sz w:val="24"/>
              </w:rPr>
              <w:t>W</w:t>
            </w:r>
            <w:r w:rsidRPr="00A104EF">
              <w:rPr>
                <w:sz w:val="24"/>
                <w:lang w:val="ru-RU"/>
              </w:rPr>
              <w:t>».</w:t>
            </w:r>
          </w:p>
          <w:p w14:paraId="19282D06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sz w:val="24"/>
              </w:rPr>
              <w:t>Who</w:t>
            </w:r>
            <w:r w:rsidRPr="00A104EF">
              <w:rPr>
                <w:sz w:val="24"/>
                <w:lang w:val="ru-RU"/>
              </w:rPr>
              <w:t>. Владельцы комнатных растений, занятые городские жители, молодые семьи, студенты, любители интерьерного озеленения, офисы, кафе и коворкинги.</w:t>
            </w:r>
          </w:p>
          <w:p w14:paraId="3553F2CE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sz w:val="24"/>
              </w:rPr>
              <w:t>What</w:t>
            </w:r>
            <w:r w:rsidRPr="00A104EF">
              <w:rPr>
                <w:sz w:val="24"/>
                <w:lang w:val="ru-RU"/>
              </w:rPr>
              <w:t>. Электронный горшок с автополивом и управлением через русскоязычное мобильное приложение.</w:t>
            </w:r>
          </w:p>
          <w:p w14:paraId="7096A871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sz w:val="24"/>
              </w:rPr>
              <w:t>Why</w:t>
            </w:r>
            <w:r w:rsidRPr="00A104EF">
              <w:rPr>
                <w:sz w:val="24"/>
                <w:lang w:val="ru-RU"/>
              </w:rPr>
              <w:t>. Нехватка времени, забывчивость, частые отъезды, риск пересушивания или перелива растения.</w:t>
            </w:r>
          </w:p>
          <w:p w14:paraId="5EC8EE8F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sz w:val="24"/>
              </w:rPr>
              <w:t>When</w:t>
            </w:r>
            <w:r w:rsidRPr="00A104EF">
              <w:rPr>
                <w:sz w:val="24"/>
                <w:lang w:val="ru-RU"/>
              </w:rPr>
              <w:t>. Повседневный уход, отпуск, командировка, отопительный сезон, покупка нового растения.</w:t>
            </w:r>
          </w:p>
          <w:p w14:paraId="5D74D95C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proofErr w:type="gramStart"/>
            <w:r>
              <w:rPr>
                <w:sz w:val="24"/>
              </w:rPr>
              <w:t>Where</w:t>
            </w:r>
            <w:proofErr w:type="gramEnd"/>
            <w:r w:rsidRPr="00A104EF">
              <w:rPr>
                <w:sz w:val="24"/>
                <w:lang w:val="ru-RU"/>
              </w:rPr>
              <w:t xml:space="preserve">. Социальные сети, </w:t>
            </w:r>
            <w:proofErr w:type="spellStart"/>
            <w:r w:rsidRPr="00A104EF">
              <w:rPr>
                <w:sz w:val="24"/>
                <w:lang w:val="ru-RU"/>
              </w:rPr>
              <w:t>Авито</w:t>
            </w:r>
            <w:proofErr w:type="spellEnd"/>
            <w:r w:rsidRPr="00A104EF">
              <w:rPr>
                <w:sz w:val="24"/>
                <w:lang w:val="ru-RU"/>
              </w:rPr>
              <w:t xml:space="preserve">, собственный сайт проекта, в дальнейшем </w:t>
            </w:r>
            <w:r>
              <w:rPr>
                <w:sz w:val="24"/>
              </w:rPr>
              <w:t>Ozon</w:t>
            </w:r>
            <w:r w:rsidRPr="00A104EF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Wildberries</w:t>
            </w:r>
            <w:r w:rsidRPr="00A104EF">
              <w:rPr>
                <w:sz w:val="24"/>
                <w:lang w:val="ru-RU"/>
              </w:rPr>
              <w:t>.</w:t>
            </w:r>
          </w:p>
        </w:tc>
      </w:tr>
      <w:tr w:rsidR="001A16FC" w:rsidRPr="00A104EF" w14:paraId="769CAA80" w14:textId="77777777" w:rsidTr="00A104EF">
        <w:trPr>
          <w:jc w:val="center"/>
        </w:trPr>
        <w:tc>
          <w:tcPr>
            <w:tcW w:w="4082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89EA3D" w14:textId="77777777" w:rsidR="001A16FC" w:rsidRPr="00A104EF" w:rsidRDefault="00000000" w:rsidP="00A104EF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lastRenderedPageBreak/>
              <w:t xml:space="preserve">Технологичность и </w:t>
            </w:r>
            <w:proofErr w:type="spellStart"/>
            <w:r w:rsidRPr="00A104EF">
              <w:rPr>
                <w:sz w:val="24"/>
                <w:lang w:val="ru-RU"/>
              </w:rPr>
              <w:t>наукоемкость</w:t>
            </w:r>
            <w:proofErr w:type="spellEnd"/>
            <w:r w:rsidRPr="00A104EF">
              <w:rPr>
                <w:sz w:val="24"/>
                <w:lang w:val="ru-RU"/>
              </w:rPr>
              <w:t xml:space="preserve"> стартап-проекта</w:t>
            </w:r>
          </w:p>
          <w:p w14:paraId="00EC0B2B" w14:textId="77777777" w:rsidR="001A16FC" w:rsidRPr="00A104EF" w:rsidRDefault="00000000" w:rsidP="00A104EF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 w:rsidRPr="00A104EF">
              <w:rPr>
                <w:i/>
                <w:sz w:val="24"/>
                <w:lang w:val="ru-RU"/>
              </w:rPr>
              <w:t>Оценивается соответствие проекта перечню направлений стартап-проектов и стартапов, а также наличие, уровень развития, эффективность технологии, планируемой к использованию в проекте</w:t>
            </w:r>
          </w:p>
        </w:tc>
        <w:tc>
          <w:tcPr>
            <w:tcW w:w="5556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751E66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1. Классификация технологии.</w:t>
            </w:r>
          </w:p>
          <w:p w14:paraId="7A1C2E95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 xml:space="preserve">Проект относится к направлению цифровых технологий, так как использует элементы интернета вещей, мобильное приложение, </w:t>
            </w:r>
            <w:proofErr w:type="spellStart"/>
            <w:r w:rsidRPr="00A104EF">
              <w:rPr>
                <w:sz w:val="24"/>
                <w:lang w:val="ru-RU"/>
              </w:rPr>
              <w:t>датчиковый</w:t>
            </w:r>
            <w:proofErr w:type="spellEnd"/>
            <w:r w:rsidRPr="00A104EF">
              <w:rPr>
                <w:sz w:val="24"/>
                <w:lang w:val="ru-RU"/>
              </w:rPr>
              <w:t xml:space="preserve"> контроль и передачу данных между устройством и пользователем. Дополнительно проект связан с ресурсосберегающими решениями, поскольку технология направлена на более точное дозирование воды при уходе за растениями.</w:t>
            </w:r>
          </w:p>
          <w:p w14:paraId="2633F55A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2. Уровень готовности технологии.</w:t>
            </w:r>
          </w:p>
          <w:p w14:paraId="325854D7" w14:textId="3CB04645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 xml:space="preserve">Текущий уровень готовности оценивается как </w:t>
            </w:r>
            <w:r>
              <w:rPr>
                <w:sz w:val="24"/>
              </w:rPr>
              <w:t>TRL</w:t>
            </w:r>
            <w:r w:rsidRPr="00A104EF">
              <w:rPr>
                <w:sz w:val="24"/>
                <w:lang w:val="ru-RU"/>
              </w:rPr>
              <w:t xml:space="preserve"> 4. Разработан визуальный прототип мобильного </w:t>
            </w:r>
            <w:r w:rsidRPr="00A104EF">
              <w:rPr>
                <w:sz w:val="24"/>
                <w:lang w:val="ru-RU"/>
              </w:rPr>
              <w:lastRenderedPageBreak/>
              <w:t xml:space="preserve">приложения, определена аппаратная схема устройства и состав ключевых компонентов. До коммерческого запуска требуется </w:t>
            </w:r>
            <w:r w:rsidR="00B84A79">
              <w:rPr>
                <w:sz w:val="24"/>
                <w:lang w:val="ru-RU"/>
              </w:rPr>
              <w:t xml:space="preserve">детальная проработка макета умного горшка, </w:t>
            </w:r>
            <w:r w:rsidRPr="00A104EF">
              <w:rPr>
                <w:sz w:val="24"/>
                <w:lang w:val="ru-RU"/>
              </w:rPr>
              <w:t xml:space="preserve">сборка опытных образцов, </w:t>
            </w:r>
            <w:r w:rsidR="00B84A79">
              <w:rPr>
                <w:sz w:val="24"/>
                <w:lang w:val="ru-RU"/>
              </w:rPr>
              <w:t xml:space="preserve">доработка мобильного приложения, </w:t>
            </w:r>
            <w:r w:rsidRPr="00A104EF">
              <w:rPr>
                <w:sz w:val="24"/>
                <w:lang w:val="ru-RU"/>
              </w:rPr>
              <w:t xml:space="preserve">проверка стабильности работы датчиков, помпы и передачи данных. К началу продаж планируется достижение уровня </w:t>
            </w:r>
            <w:r>
              <w:rPr>
                <w:sz w:val="24"/>
              </w:rPr>
              <w:t>TRL</w:t>
            </w:r>
            <w:r w:rsidRPr="00A104EF">
              <w:rPr>
                <w:sz w:val="24"/>
                <w:lang w:val="ru-RU"/>
              </w:rPr>
              <w:t xml:space="preserve"> 7.</w:t>
            </w:r>
          </w:p>
          <w:p w14:paraId="01BB791A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3. Критические элементы технологии.</w:t>
            </w:r>
          </w:p>
          <w:p w14:paraId="10218861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 xml:space="preserve">К ключевым элементам относятся микроконтроллер </w:t>
            </w:r>
            <w:r>
              <w:rPr>
                <w:sz w:val="24"/>
              </w:rPr>
              <w:t>ESP</w:t>
            </w:r>
            <w:r w:rsidRPr="00A104EF">
              <w:rPr>
                <w:sz w:val="24"/>
                <w:lang w:val="ru-RU"/>
              </w:rPr>
              <w:t xml:space="preserve">32 с </w:t>
            </w:r>
            <w:r>
              <w:rPr>
                <w:sz w:val="24"/>
              </w:rPr>
              <w:t>Wi</w:t>
            </w:r>
            <w:r w:rsidRPr="00A104E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Fi</w:t>
            </w:r>
            <w:r w:rsidRPr="00A104EF">
              <w:rPr>
                <w:sz w:val="24"/>
                <w:lang w:val="ru-RU"/>
              </w:rPr>
              <w:t xml:space="preserve">-модулем, датчик влажности грунта, помпа, резервуар для воды, электронный поплавок, система питания, корпус горшка, облачный обмен данными и мобильное приложение для </w:t>
            </w:r>
            <w:r>
              <w:rPr>
                <w:sz w:val="24"/>
              </w:rPr>
              <w:t>iOS</w:t>
            </w:r>
            <w:r w:rsidRPr="00A104EF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Android</w:t>
            </w:r>
            <w:r w:rsidRPr="00A104EF">
              <w:rPr>
                <w:sz w:val="24"/>
                <w:lang w:val="ru-RU"/>
              </w:rPr>
              <w:t>.</w:t>
            </w:r>
          </w:p>
          <w:p w14:paraId="7179B1FA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4. Концепция продукта и решаемой проблемы.</w:t>
            </w:r>
          </w:p>
          <w:p w14:paraId="64ADB243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Концепция продукта основана на автоматизации регулярного полива комнатных растений. Устройство должно контролировать влажность грунта и выполнять полив без ежедневного участия пользователя. Приложение позволяет выбирать режим работы, получать уведомления и вести журнал ухода за растениями.</w:t>
            </w:r>
          </w:p>
        </w:tc>
      </w:tr>
      <w:tr w:rsidR="001A16FC" w:rsidRPr="00A104EF" w14:paraId="614761B9" w14:textId="77777777" w:rsidTr="00A104EF">
        <w:trPr>
          <w:jc w:val="center"/>
        </w:trPr>
        <w:tc>
          <w:tcPr>
            <w:tcW w:w="4082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45DB7F" w14:textId="77777777" w:rsidR="001A16FC" w:rsidRPr="00A104EF" w:rsidRDefault="00000000" w:rsidP="00A104EF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lastRenderedPageBreak/>
              <w:t>Наличие потенциала развития стартап-проекта</w:t>
            </w:r>
          </w:p>
          <w:p w14:paraId="5A027FA9" w14:textId="77777777" w:rsidR="001A16FC" w:rsidRPr="00A104EF" w:rsidRDefault="00000000" w:rsidP="00A104EF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 w:rsidRPr="00A104EF">
              <w:rPr>
                <w:i/>
                <w:sz w:val="24"/>
                <w:lang w:val="ru-RU"/>
              </w:rPr>
              <w:t>Оценивается наличие конкурентных преимуществ и потенциальная востребованность создаваемого в проекте товара в сравнении с существующими аналогами, уникальность идеи стартап-проекта</w:t>
            </w:r>
          </w:p>
        </w:tc>
        <w:tc>
          <w:tcPr>
            <w:tcW w:w="5556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85F38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1. Уникальное торговое предложение продукта.</w:t>
            </w:r>
          </w:p>
          <w:p w14:paraId="6999C59A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«</w:t>
            </w:r>
            <w:proofErr w:type="spellStart"/>
            <w:r w:rsidRPr="00A104EF">
              <w:rPr>
                <w:sz w:val="24"/>
                <w:lang w:val="ru-RU"/>
              </w:rPr>
              <w:t>АкваГроу</w:t>
            </w:r>
            <w:proofErr w:type="spellEnd"/>
            <w:r w:rsidRPr="00A104EF">
              <w:rPr>
                <w:sz w:val="24"/>
                <w:lang w:val="ru-RU"/>
              </w:rPr>
              <w:t>» объединяет электронный автополив, три режима работы и русскоязычное мобильное приложение с локальной поддержкой. Для покупателя ценность продукта заключается в снижении риска гибели растения, понятном управлении со смартфона и отсутствии необходимости разбираться в сложных технических настройках.</w:t>
            </w:r>
          </w:p>
          <w:p w14:paraId="4B3E921E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2. Основные конкуренты продукта.</w:t>
            </w:r>
          </w:p>
          <w:p w14:paraId="3A785553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sz w:val="24"/>
              </w:rPr>
              <w:t>Lechuza</w:t>
            </w:r>
            <w:r w:rsidRPr="00A104EF">
              <w:rPr>
                <w:sz w:val="24"/>
                <w:lang w:val="ru-RU"/>
              </w:rPr>
              <w:t>. Сильные стороны: качество корпуса, известность бренда, дизайн. Слабые стороны: высокая цена, механический принцип полива, отсутствие мобильного приложения.</w:t>
            </w:r>
          </w:p>
          <w:p w14:paraId="356E357B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 xml:space="preserve">Леман ПРО, «Посудный ряд», Московский завод «Техоснастка», </w:t>
            </w:r>
            <w:proofErr w:type="spellStart"/>
            <w:r>
              <w:rPr>
                <w:sz w:val="24"/>
              </w:rPr>
              <w:t>Saburg</w:t>
            </w:r>
            <w:proofErr w:type="spellEnd"/>
            <w:r w:rsidRPr="00A104EF">
              <w:rPr>
                <w:sz w:val="24"/>
                <w:lang w:val="ru-RU"/>
              </w:rPr>
              <w:t>. Сильные стороны: доступность и низкая цена. Слабые стороны: отсутствие электронного контроля влажности, обратной связи и дистанционного управления.</w:t>
            </w:r>
          </w:p>
          <w:p w14:paraId="600691D7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 xml:space="preserve">Электронные аналоги с </w:t>
            </w:r>
            <w:r>
              <w:rPr>
                <w:sz w:val="24"/>
              </w:rPr>
              <w:t>AliExpress</w:t>
            </w:r>
            <w:r w:rsidRPr="00A104EF">
              <w:rPr>
                <w:sz w:val="24"/>
                <w:lang w:val="ru-RU"/>
              </w:rPr>
              <w:t xml:space="preserve"> и маркетплейсов. Сильные стороны: доступная цена и наличие отдельных электронных функций. Слабые стороны: нестабильное качество, отсутствие полноценного </w:t>
            </w:r>
            <w:r w:rsidRPr="00A104EF">
              <w:rPr>
                <w:sz w:val="24"/>
                <w:lang w:val="ru-RU"/>
              </w:rPr>
              <w:lastRenderedPageBreak/>
              <w:t>русскоязычного сопровождения, ограниченная гарантия и слабая техническая поддержка.</w:t>
            </w:r>
          </w:p>
          <w:p w14:paraId="18005EF3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Потенциал развития проекта связан с расширением линейки по размеру и цвету горшков, выходом на маркетплейсы, развитием приложения и последующей интеграцией с экосистемами умного дома на горизонте 3-4 лет.</w:t>
            </w:r>
          </w:p>
        </w:tc>
      </w:tr>
      <w:tr w:rsidR="001A16FC" w:rsidRPr="00A104EF" w14:paraId="22679D5D" w14:textId="77777777" w:rsidTr="00A104EF">
        <w:trPr>
          <w:jc w:val="center"/>
        </w:trPr>
        <w:tc>
          <w:tcPr>
            <w:tcW w:w="4082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7CE10F" w14:textId="77777777" w:rsidR="001A16FC" w:rsidRPr="00A104EF" w:rsidRDefault="00000000" w:rsidP="00A104EF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lastRenderedPageBreak/>
              <w:t>Быстрый рост стартап-проекта</w:t>
            </w:r>
          </w:p>
          <w:p w14:paraId="73D2B0AC" w14:textId="77777777" w:rsidR="001A16FC" w:rsidRPr="00A104EF" w:rsidRDefault="00000000" w:rsidP="00A104EF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 w:rsidRPr="00A104EF">
              <w:rPr>
                <w:i/>
                <w:sz w:val="24"/>
                <w:lang w:val="ru-RU"/>
              </w:rPr>
              <w:t>Оценивается темп развития стартап-проекта, а также проработанность дорожной карты развития проекта</w:t>
            </w:r>
          </w:p>
        </w:tc>
        <w:tc>
          <w:tcPr>
            <w:tcW w:w="5556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0A779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Дорожная карта развития проекта:</w:t>
            </w:r>
          </w:p>
          <w:p w14:paraId="03B5C9DE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 xml:space="preserve">1. Апрель-июнь 2026 года. Проведение </w:t>
            </w:r>
            <w:proofErr w:type="spellStart"/>
            <w:r>
              <w:rPr>
                <w:sz w:val="24"/>
              </w:rPr>
              <w:t>CustDev</w:t>
            </w:r>
            <w:proofErr w:type="spellEnd"/>
            <w:r w:rsidRPr="00A104EF">
              <w:rPr>
                <w:sz w:val="24"/>
                <w:lang w:val="ru-RU"/>
              </w:rPr>
              <w:t>-интервью, формулирование гипотез, анализ рынка, подготовка финансовой модели, создание визуального прототипа мобильного приложения. Ожидаемый результат: подтверждение проблемы и описание базовой бизнес-модели.</w:t>
            </w:r>
          </w:p>
          <w:p w14:paraId="700DF554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2. Июль-октябрь 2026 года. Регистрация индивидуального предпринимателя, выбор налогового режима, подбор поставщиков комплектующих, согласование условий работы с внешними исполнителями, подготовка технического задания. Ожидаемый результат: правовая и организационная готовность к подготовке опытных образцов.</w:t>
            </w:r>
          </w:p>
          <w:p w14:paraId="628993BF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3. Ноябрь-декабрь 2026 года. Сборка опытных образцов, закупка комплектующих для первой партии, подготовка упаковки, инструкции и каналов продаж. Ожидаемый результат: готовность первой партии к коммерческой реализации.</w:t>
            </w:r>
          </w:p>
          <w:p w14:paraId="52F5E65E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4. Январь-июнь 2027 года. Начало продаж через собственные каналы, обработка заказов, техническое сопровождение покупателей, сбор отзывов и фиксация проблем эксплуатации. Ожидаемый результат: первые продажи, подтверждение спроса и перечень необходимых доработок.</w:t>
            </w:r>
          </w:p>
          <w:p w14:paraId="3E939823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>5. Июль-декабрь 2027 года. Доработка продукта и приложения по итогам обратной связи, стабилизация процесса сборки, подготовка к расширению каналов продаж. Ожидаемый результат: повышение надежности продукта и готовность к выходу на маркетплейсы.</w:t>
            </w:r>
          </w:p>
          <w:p w14:paraId="3F405773" w14:textId="77777777" w:rsidR="001A16FC" w:rsidRPr="00A104EF" w:rsidRDefault="00000000" w:rsidP="00A104EF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 w:rsidRPr="00A104EF">
              <w:rPr>
                <w:sz w:val="24"/>
                <w:lang w:val="ru-RU"/>
              </w:rPr>
              <w:t xml:space="preserve">6. 2028 год. Выход на </w:t>
            </w:r>
            <w:r>
              <w:rPr>
                <w:sz w:val="24"/>
              </w:rPr>
              <w:t>Ozon</w:t>
            </w:r>
            <w:r w:rsidRPr="00A104EF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Wildberries</w:t>
            </w:r>
            <w:r w:rsidRPr="00A104EF">
              <w:rPr>
                <w:sz w:val="24"/>
                <w:lang w:val="ru-RU"/>
              </w:rPr>
              <w:t>, расширение организационной структуры, увеличение объема сборки, тестирование новых вариантов размера и цвета. Ожидаемый результат: рост продаж до 1164 устройств за год и подготовка основы для дальнейшего масштабирования.</w:t>
            </w:r>
          </w:p>
        </w:tc>
      </w:tr>
    </w:tbl>
    <w:p w14:paraId="7C0CB04E" w14:textId="77777777" w:rsidR="001A16FC" w:rsidRPr="00A104EF" w:rsidRDefault="001A16FC" w:rsidP="00B84A79">
      <w:pPr>
        <w:shd w:val="clear" w:color="auto" w:fill="FFFFFF" w:themeFill="background1"/>
        <w:spacing w:line="240" w:lineRule="auto"/>
        <w:rPr>
          <w:lang w:val="ru-RU"/>
        </w:rPr>
      </w:pPr>
    </w:p>
    <w:sectPr w:rsidR="001A16FC" w:rsidRPr="00A104EF" w:rsidSect="00034616">
      <w:pgSz w:w="11906" w:h="16838"/>
      <w:pgMar w:top="1417" w:right="56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722176">
    <w:abstractNumId w:val="8"/>
  </w:num>
  <w:num w:numId="2" w16cid:durableId="787093079">
    <w:abstractNumId w:val="6"/>
  </w:num>
  <w:num w:numId="3" w16cid:durableId="1670712771">
    <w:abstractNumId w:val="5"/>
  </w:num>
  <w:num w:numId="4" w16cid:durableId="2117363203">
    <w:abstractNumId w:val="4"/>
  </w:num>
  <w:num w:numId="5" w16cid:durableId="2091417238">
    <w:abstractNumId w:val="7"/>
  </w:num>
  <w:num w:numId="6" w16cid:durableId="1078745469">
    <w:abstractNumId w:val="3"/>
  </w:num>
  <w:num w:numId="7" w16cid:durableId="1970937313">
    <w:abstractNumId w:val="2"/>
  </w:num>
  <w:num w:numId="8" w16cid:durableId="626007551">
    <w:abstractNumId w:val="1"/>
  </w:num>
  <w:num w:numId="9" w16cid:durableId="176260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47D"/>
    <w:rsid w:val="00034616"/>
    <w:rsid w:val="0006063C"/>
    <w:rsid w:val="00144760"/>
    <w:rsid w:val="0015074B"/>
    <w:rsid w:val="001A16FC"/>
    <w:rsid w:val="0029639D"/>
    <w:rsid w:val="00326F90"/>
    <w:rsid w:val="00A104EF"/>
    <w:rsid w:val="00AA1D8D"/>
    <w:rsid w:val="00B47730"/>
    <w:rsid w:val="00B84A7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95452"/>
  <w14:defaultImageDpi w14:val="300"/>
  <w15:docId w15:val="{E436DA4C-1D14-6B44-8350-499C3AB2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360" w:lineRule="auto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Ксения Гредина</cp:lastModifiedBy>
  <cp:revision>2</cp:revision>
  <dcterms:created xsi:type="dcterms:W3CDTF">2026-04-27T16:13:00Z</dcterms:created>
  <dcterms:modified xsi:type="dcterms:W3CDTF">2026-04-27T16:13:00Z</dcterms:modified>
  <cp:category/>
</cp:coreProperties>
</file>